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26D07" w14:textId="4D6C5728" w:rsidR="00177A96" w:rsidRDefault="00177A96" w:rsidP="00AD03AE">
      <w:pPr>
        <w:spacing w:before="0" w:after="0" w:line="276" w:lineRule="auto"/>
        <w:ind w:left="700" w:hanging="360"/>
        <w:contextualSpacing/>
        <w:jc w:val="both"/>
      </w:pPr>
      <w:r>
        <w:t>RG.271.2.5.2026</w:t>
      </w:r>
    </w:p>
    <w:p w14:paraId="6B773EE1" w14:textId="1FDEFF18" w:rsidR="00177A96" w:rsidRDefault="00177A96" w:rsidP="00177A96">
      <w:pPr>
        <w:spacing w:before="0" w:after="0" w:line="276" w:lineRule="auto"/>
        <w:ind w:left="700" w:hanging="360"/>
        <w:contextualSpacing/>
        <w:jc w:val="right"/>
      </w:pPr>
      <w:r>
        <w:t>Załącznik nr 1 - Opis Przedmiotu Zamówienia</w:t>
      </w:r>
    </w:p>
    <w:p w14:paraId="2B84D777" w14:textId="77777777" w:rsidR="00177A96" w:rsidRPr="00177A96" w:rsidRDefault="00177A96" w:rsidP="00177A96">
      <w:pPr>
        <w:spacing w:before="0" w:after="0" w:line="276" w:lineRule="auto"/>
        <w:ind w:left="700"/>
        <w:contextualSpacing/>
        <w:jc w:val="both"/>
        <w:rPr>
          <w:rFonts w:cs="Calibri"/>
          <w:sz w:val="22"/>
          <w:szCs w:val="22"/>
          <w:lang w:eastAsia="pl-PL"/>
        </w:rPr>
      </w:pPr>
    </w:p>
    <w:p w14:paraId="2B674F51" w14:textId="506C9945" w:rsidR="00AD03AE" w:rsidRPr="00AD03AE" w:rsidRDefault="00AD03AE" w:rsidP="00005871">
      <w:pPr>
        <w:spacing w:before="0" w:after="0" w:line="276" w:lineRule="auto"/>
        <w:ind w:left="1420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br/>
      </w:r>
    </w:p>
    <w:p w14:paraId="6B1538A9" w14:textId="77777777" w:rsidR="00005871" w:rsidRDefault="00005871" w:rsidP="00005871">
      <w:pPr>
        <w:pStyle w:val="Akapitzlist"/>
        <w:numPr>
          <w:ilvl w:val="0"/>
          <w:numId w:val="110"/>
        </w:numPr>
        <w:spacing w:before="0" w:after="0"/>
        <w:jc w:val="both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Usługa opracowania i wdrożenie Systemu Zarządzania Bezpieczeństwa Informacji.</w:t>
      </w:r>
    </w:p>
    <w:p w14:paraId="355AA9F9" w14:textId="0CFD438D" w:rsidR="00AD03AE" w:rsidRPr="00005871" w:rsidRDefault="00AD03AE" w:rsidP="00005871">
      <w:pPr>
        <w:spacing w:before="0" w:after="0"/>
        <w:ind w:left="360"/>
        <w:jc w:val="both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Zakres prac:</w:t>
      </w:r>
    </w:p>
    <w:p w14:paraId="72377D3C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55CC6773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a) Określenie granic systemu zarządzania bezpieczeństwem informacji</w:t>
      </w:r>
    </w:p>
    <w:p w14:paraId="1DA97BF9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zobowiązany jest do przeprowadzenia kompleksowej analizy środowiska Zamawiającego obejmującej wszystkie komórki organizacyjne Urzędu Gminy, jednostki organizacyjne gminy oraz podmioty przetwarzające dane w imieniu Zamawiającego. Analiza musi uwzględniać specyfikę funkcjonowania administracji samorządowej, w tym realizację zadań własnych gminy oraz zadań zleconych z zakresu administracji rządowej.</w:t>
      </w:r>
    </w:p>
    <w:p w14:paraId="0A05C718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Wymagane jest określenie granic SZBI z uwzględnieniem wszystkich lokalizacji fizycznych, systemów teleinformatycznych wykorzystywanych do świadczenia e-usług publicznych, platform elektronicznych, rejestrów państwowych oraz systemów dziedzinowych. Granice systemu muszą obejmować procesy związane z obsługą mieszkańców, w tym wydawanie decyzji administracyjnych, prowadzenie rejestrów publicznych oraz realizację zadań z zakresu pomocy społecznej i oświaty.</w:t>
      </w:r>
    </w:p>
    <w:p w14:paraId="1AB389B6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b) Identyfikacja zasobów, procesów i funkcjonującej dokumentacji</w:t>
      </w:r>
    </w:p>
    <w:p w14:paraId="74B6C21D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przeprowadzi szczegółową inwentaryzację wszystkich aktywów informacyjnych                 z podziałem na kategorie zgodne z przepisami o ochronie informacji niejawnych, RODO oraz ustawą               o informatyzacji działalności podmiotów realizujących zadania publiczne. Identyfikacja musi objąć systemy przetwarzające dane szczególnych kategorii, dane biometryczne mieszkańców, informacje podatkowe oraz dane z rejestrów stanu cywilnego.</w:t>
      </w:r>
    </w:p>
    <w:p w14:paraId="2241B8D0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Wymagane jest zmapowanie wszystkich procesów biznesowych realizowanych przez Urząd ze szczególnym uwzględnieniem procesów krytycznych dla świadczenia usług publicznych, procesów wymagających zachowania ciągłości działania zgodnie z ISO 22301:2020 oraz procesów podlegających audytowi w ramach kontroli zarządczej. Analiza musi uwzględnić powiązania międzyprocesowe, zależności od dostawców zewnętrznych oraz wpływ na realizację celów strategicznych gminy.</w:t>
      </w:r>
    </w:p>
    <w:p w14:paraId="4E5BDB27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c) Analiza ryzyka przy udziale Zamawiającego</w:t>
      </w:r>
    </w:p>
    <w:p w14:paraId="34F34DF8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opracuje i wdroży metodykę analizy ryzyka dostosowaną do specyfiki jednostki samorządu terytorialnego, uwzględniającą wymagania Krajowych Ram Interoperacyjności, wytyczne Ministerstwa Cyfryzacji oraz standardy NIST dla sektora publicznego. Metodyka musi być zgodna                       z ISO/IEC 27005:2022 oraz uwzględniać kontekst prawny wynikający z przepisów o dostępie do informacji publicznej.</w:t>
      </w:r>
    </w:p>
    <w:p w14:paraId="75030506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Analiza obejmie identyfikację i ocenę zagrożeń charakterystycznych dla administracji publicznej, w tym zagrożenia wynikające z ataków socjotechnicznych, </w:t>
      </w:r>
      <w:proofErr w:type="spellStart"/>
      <w:r>
        <w:rPr>
          <w:rFonts w:cs="Calibri"/>
          <w:sz w:val="22"/>
          <w:szCs w:val="22"/>
          <w:lang w:eastAsia="pl-PL"/>
        </w:rPr>
        <w:t>ransomware</w:t>
      </w:r>
      <w:proofErr w:type="spellEnd"/>
      <w:r>
        <w:rPr>
          <w:rFonts w:cs="Calibri"/>
          <w:sz w:val="22"/>
          <w:szCs w:val="22"/>
          <w:lang w:eastAsia="pl-PL"/>
        </w:rPr>
        <w:t xml:space="preserve"> ukierunkowanego na sektor publiczny, zagrożeń związanych z publikacją danych w BIP oraz </w:t>
      </w:r>
      <w:proofErr w:type="spellStart"/>
      <w:r>
        <w:rPr>
          <w:rFonts w:cs="Calibri"/>
          <w:sz w:val="22"/>
          <w:szCs w:val="22"/>
          <w:lang w:eastAsia="pl-PL"/>
        </w:rPr>
        <w:t>ryzyk</w:t>
      </w:r>
      <w:proofErr w:type="spellEnd"/>
      <w:r>
        <w:rPr>
          <w:rFonts w:cs="Calibri"/>
          <w:sz w:val="22"/>
          <w:szCs w:val="22"/>
          <w:lang w:eastAsia="pl-PL"/>
        </w:rPr>
        <w:t xml:space="preserve"> związanych z integracją z systemami zewnętrznymi. Wykonawca przeprowadzi warsztaty z kluczowymi pracownikami Urzędu w celu identyfikacji scenariuszy zagrożeń oraz określenia akceptowalnego poziomu ryzyka.</w:t>
      </w:r>
    </w:p>
    <w:p w14:paraId="0FE4A088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d) Zaprojektowanie zabezpieczeń na podstawie zidentyfikowanych zagrożeń</w:t>
      </w:r>
    </w:p>
    <w:p w14:paraId="50EF43DE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Projekt zabezpieczeń musi uwzględniać wielowarstwowy model ochrony obejmujący zabezpieczenia organizacyjne, techniczne i fizyczne zgodne z załącznikiem A normy ISO 27001:2022. Wykonawca opracuje szczegółową architekturę bezpieczeństwa uwzględniającą segmentację sieci, strefy bezpieczeństwa dla systemów przetwarzających dane wrażliwe oraz mechanizmy wykrywania i reagowania na incydenty.</w:t>
      </w:r>
    </w:p>
    <w:p w14:paraId="060B79E9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Wymagane jest zaprojektowanie systemu zarządzania tożsamością i dostępem (IAM) zintegrowanego z Active Directory, mechanizmów szyfrowania danych w spoczynku i transmisji, rozwiązań DLP oraz systemu monitorowania bezpieczeństwa (SIEM) dostosowanego do skali działania Urzędu. Projekt musi uwzględniać wymagania dotyczące podpisu elektronicznego, pieczęci elektronicznej oraz profilu zaufanego.</w:t>
      </w:r>
    </w:p>
    <w:p w14:paraId="0150A675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e) Przygotowanie deklaracji stosowania</w:t>
      </w:r>
    </w:p>
    <w:p w14:paraId="0E0E7C92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Wykonawca opracuje kompleksową Deklarację Stosowania (Statement of </w:t>
      </w:r>
      <w:proofErr w:type="spellStart"/>
      <w:r>
        <w:rPr>
          <w:rFonts w:cs="Calibri"/>
          <w:sz w:val="22"/>
          <w:szCs w:val="22"/>
          <w:lang w:eastAsia="pl-PL"/>
        </w:rPr>
        <w:t>Applicability</w:t>
      </w:r>
      <w:proofErr w:type="spellEnd"/>
      <w:r>
        <w:rPr>
          <w:rFonts w:cs="Calibri"/>
          <w:sz w:val="22"/>
          <w:szCs w:val="22"/>
          <w:lang w:eastAsia="pl-PL"/>
        </w:rPr>
        <w:t>) obejmującą wszystkie 93 zabezpieczenia z załącznika A normy ISO 27001:2022. Dla każdego zabezpieczenia określony zostanie status wdrożenia, uzasadnienie wyboru lub wykluczenia oraz powiązanie z wymaganiami prawnymi i regulacyjnymi dotyczącymi jednostek samorządu terytorialnego.</w:t>
      </w:r>
    </w:p>
    <w:p w14:paraId="5CCDAB01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Deklaracja będzie zawierać mapowanie zabezpieczeń do wymagań wynikających </w:t>
      </w:r>
      <w:r>
        <w:rPr>
          <w:rFonts w:cs="Calibri"/>
          <w:sz w:val="22"/>
          <w:szCs w:val="22"/>
          <w:lang w:eastAsia="pl-PL"/>
        </w:rPr>
        <w:br/>
        <w:t xml:space="preserve">z rozporządzenia KRI, ustawy o krajowym systemie </w:t>
      </w:r>
      <w:proofErr w:type="spellStart"/>
      <w:r>
        <w:rPr>
          <w:rFonts w:cs="Calibri"/>
          <w:sz w:val="22"/>
          <w:szCs w:val="22"/>
          <w:lang w:eastAsia="pl-PL"/>
        </w:rPr>
        <w:t>cyberbezpieczeństwa</w:t>
      </w:r>
      <w:proofErr w:type="spellEnd"/>
      <w:r>
        <w:rPr>
          <w:rFonts w:cs="Calibri"/>
          <w:sz w:val="22"/>
          <w:szCs w:val="22"/>
          <w:lang w:eastAsia="pl-PL"/>
        </w:rPr>
        <w:t xml:space="preserve">, RODO oraz wytycznych UODO dla administracji publicznej. Wykonawca opracuje również harmonogram wdrożenia zabezpieczeń z uwzględnieniem </w:t>
      </w:r>
      <w:proofErr w:type="spellStart"/>
      <w:r>
        <w:rPr>
          <w:rFonts w:cs="Calibri"/>
          <w:sz w:val="22"/>
          <w:szCs w:val="22"/>
          <w:lang w:eastAsia="pl-PL"/>
        </w:rPr>
        <w:t>priorytetyzacji</w:t>
      </w:r>
      <w:proofErr w:type="spellEnd"/>
      <w:r>
        <w:rPr>
          <w:rFonts w:cs="Calibri"/>
          <w:sz w:val="22"/>
          <w:szCs w:val="22"/>
          <w:lang w:eastAsia="pl-PL"/>
        </w:rPr>
        <w:t xml:space="preserve"> opartej na analizie ryzyka.</w:t>
      </w:r>
    </w:p>
    <w:p w14:paraId="59263305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f) Przygotowanie procedur zgodnych z deklaracją stosowania</w:t>
      </w:r>
    </w:p>
    <w:p w14:paraId="29802D52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Wykonawca opracuje kompletny zestaw procedur operacyjnych obejmujący minimum </w:t>
      </w:r>
      <w:r>
        <w:rPr>
          <w:rFonts w:cs="Calibri"/>
          <w:sz w:val="22"/>
          <w:szCs w:val="22"/>
          <w:lang w:eastAsia="pl-PL"/>
        </w:rPr>
        <w:br/>
        <w:t>40 procedur szczegółowych dostosowanych do struktury organizacyjnej Urzędu. Procedury będą zgodne z wymaganiami ISO 27001:2022, ISO 22301:2020 oraz uwzględniać specyfikę procesów administracyjnych.</w:t>
      </w:r>
    </w:p>
    <w:p w14:paraId="355768D9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Wymagane procedury obejmą między innymi: zarządzanie incydentami bezpieczeństwa                       z uwzględnieniem obowiązków notyfikacyjnych, zarządzanie zmianą w systemach informatycznych, kontrolę dostępu do systemów i pomieszczeń, zarządzanie kopiami bezpieczeństwa i odtwarzaniem, bezpieczną utylizację nośników, zarządzanie podatnościami, procedury ciągłości działania dla procesów krytycznych, zarządzanie dostawcami i usługodawcami oraz procedury reagowania na żądania podmiotów danych.</w:t>
      </w:r>
    </w:p>
    <w:p w14:paraId="755E204D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g) Szkolenia dla pracowników Zamawiającego</w:t>
      </w:r>
    </w:p>
    <w:p w14:paraId="370A1126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Program szkoleń zostanie zróżnicowany według grup docelowych i obejmie szkolenia podstawowe dla wszystkich pracowników (minimum 3 godziny), szkolenia specjalistyczne dla administratorów systemów (minimum 16 godzin), szkolenia dla kadry kierowniczej dotyczące zarządzania ryzykiem i ciągłością działania (minimum 8 godzin) oraz warsztaty dla zespołu reagowania na incydenty (minimum 8 godzin).</w:t>
      </w:r>
    </w:p>
    <w:p w14:paraId="1840BD4B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Szkolenia będą prowadzone metodą </w:t>
      </w:r>
      <w:proofErr w:type="spellStart"/>
      <w:r>
        <w:rPr>
          <w:rFonts w:cs="Calibri"/>
          <w:sz w:val="22"/>
          <w:szCs w:val="22"/>
          <w:lang w:eastAsia="pl-PL"/>
        </w:rPr>
        <w:t>blended</w:t>
      </w:r>
      <w:proofErr w:type="spellEnd"/>
      <w:r>
        <w:rPr>
          <w:rFonts w:cs="Calibri"/>
          <w:sz w:val="22"/>
          <w:szCs w:val="22"/>
          <w:lang w:eastAsia="pl-PL"/>
        </w:rPr>
        <w:t xml:space="preserve"> learning z wykorzystaniem platformy </w:t>
      </w:r>
      <w:r>
        <w:rPr>
          <w:rFonts w:cs="Calibri"/>
          <w:sz w:val="22"/>
          <w:szCs w:val="22"/>
          <w:lang w:eastAsia="pl-PL"/>
        </w:rPr>
        <w:br/>
        <w:t xml:space="preserve">e-learningowej, warsztatów praktycznych oraz symulacji incydentów. Wykonawca opracuje materiały szkoleniowe dostosowane do specyfiki Urzędu, testy kompetencyjne oraz system certyfikacji wewnętrznej. Program szkoleń musi uwzględniać zagadnienia </w:t>
      </w:r>
      <w:proofErr w:type="spellStart"/>
      <w:r>
        <w:rPr>
          <w:rFonts w:cs="Calibri"/>
          <w:sz w:val="22"/>
          <w:szCs w:val="22"/>
          <w:lang w:eastAsia="pl-PL"/>
        </w:rPr>
        <w:t>phishingu</w:t>
      </w:r>
      <w:proofErr w:type="spellEnd"/>
      <w:r>
        <w:rPr>
          <w:rFonts w:cs="Calibri"/>
          <w:sz w:val="22"/>
          <w:szCs w:val="22"/>
          <w:lang w:eastAsia="pl-PL"/>
        </w:rPr>
        <w:t>, inżynierii społecznej, ochrony danych osobowych w kontekście obsługi interesantów oraz bezpieczeństwa pracy zdalnej.</w:t>
      </w:r>
    </w:p>
    <w:p w14:paraId="06AA9B99" w14:textId="77777777" w:rsidR="00AD03AE" w:rsidRPr="00AD03AE" w:rsidRDefault="00AD03AE" w:rsidP="00AD03AE">
      <w:pPr>
        <w:spacing w:before="0" w:after="0"/>
        <w:ind w:left="700"/>
        <w:contextualSpacing/>
        <w:jc w:val="both"/>
        <w:outlineLvl w:val="2"/>
        <w:rPr>
          <w:rFonts w:cs="Calibri"/>
          <w:b/>
          <w:bCs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h) Wdrożenie procedur</w:t>
      </w:r>
    </w:p>
    <w:p w14:paraId="5A1FFCA5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Wdrożenie procedur zostanie przeprowadzone w sposób etapowy z wykorzystaniem metodyki PDCA. Wykonawca zapewni wsparcie podczas pilotażowego wdrożenia w wybranych komórkach organizacyjnych, przeprowadzi testy skuteczności procedur oraz dokona niezbędnych korekt na podstawie wyników testów i feedbacku użytkowników.</w:t>
      </w:r>
    </w:p>
    <w:p w14:paraId="182C2B66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Proces wdrożenia obejmie konfigurację systemów informatycznych zgodnie z przyjętymi politykami, implementację mechanizmów kontrolnych, integrację z istniejącymi systemami zarządzania oraz opracowanie systemu KPI do monitorowania skuteczności zabezpieczeń. Wykonawca przeprowadzi audyt wdrożenia oraz opracuje raport z rekomendacjami doskonalenia.</w:t>
      </w:r>
    </w:p>
    <w:p w14:paraId="00010010" w14:textId="00010011" w:rsidR="0043524E" w:rsidRPr="00480228" w:rsidRDefault="0043524E" w:rsidP="00480228"/>
    <w:p w14:paraId="0001003C" w14:textId="0001003D" w:rsidR="0043524E" w:rsidRPr="00480228" w:rsidRDefault="00A65A4B" w:rsidP="00480228">
      <w:r w:rsidRPr="00480228">
        <w:t>i) Wykaz produktów (</w:t>
      </w:r>
      <w:proofErr w:type="spellStart"/>
      <w:r w:rsidRPr="00480228">
        <w:t>deliverables</w:t>
      </w:r>
      <w:proofErr w:type="spellEnd"/>
      <w:r w:rsidRPr="00480228">
        <w:t>) i kryteria odbioru</w:t>
      </w:r>
    </w:p>
    <w:p w14:paraId="0001006A" w14:textId="0001006B" w:rsidR="0043524E" w:rsidRPr="00480228" w:rsidRDefault="00A65A4B" w:rsidP="00480228">
      <w:r w:rsidRPr="00480228">
        <w:t>Wykonawca zobowiązany jest do dostarczenia następujących produktów w ramach realizacji zamówienia. Każdy produkt podlega formalnemu odbiorowi przez Zamawiającego na podstawie określonych poniżej kryteriów:</w:t>
      </w:r>
    </w:p>
    <w:p w14:paraId="00010090" w14:textId="00010091" w:rsidR="0043524E" w:rsidRPr="00480228" w:rsidRDefault="0043524E" w:rsidP="00480228"/>
    <w:p w14:paraId="0001011A" w14:textId="0251D689" w:rsidR="0043524E" w:rsidRPr="00480228" w:rsidRDefault="00A65A4B" w:rsidP="00480228">
      <w:r w:rsidRPr="00480228">
        <w:t xml:space="preserve">1) Raport z analizy kontekstu organizacji </w:t>
      </w:r>
      <w:r w:rsidR="00D12A68" w:rsidRPr="00480228">
        <w:t>-</w:t>
      </w:r>
      <w:r w:rsidRPr="00480228">
        <w:t xml:space="preserve"> zawierający mapę procesów, listę aktywów informacyjnych, analizę interesariuszy specyficzną dla Urzędu Gminy Kosów Lacki. Termin: </w:t>
      </w:r>
      <w:r w:rsidR="00D12A68" w:rsidRPr="00480228">
        <w:t>15</w:t>
      </w:r>
      <w:r w:rsidRPr="00480228">
        <w:t xml:space="preserve"> dni od podpisania umowy.</w:t>
      </w:r>
    </w:p>
    <w:p w14:paraId="0001014A" w14:textId="440EDDF8" w:rsidR="0043524E" w:rsidRPr="00480228" w:rsidRDefault="00A65A4B" w:rsidP="00480228">
      <w:r w:rsidRPr="00480228">
        <w:t xml:space="preserve">2) Metodyka oceny ryzyka </w:t>
      </w:r>
      <w:r w:rsidR="00D12A68" w:rsidRPr="00480228">
        <w:t>-</w:t>
      </w:r>
      <w:r w:rsidRPr="00480228">
        <w:t xml:space="preserve"> zgodna z ISO/IEC 27005:2022, uwzględniająca specyfikę jednostki samorządu terytorialnego oraz wymagania KRI. Termin: </w:t>
      </w:r>
      <w:r w:rsidR="00D12A68" w:rsidRPr="00480228">
        <w:t>21</w:t>
      </w:r>
      <w:r w:rsidRPr="00480228">
        <w:t xml:space="preserve"> dni od podpisania umowy.</w:t>
      </w:r>
    </w:p>
    <w:p w14:paraId="0001017A" w14:textId="6A6154D9" w:rsidR="0043524E" w:rsidRPr="00480228" w:rsidRDefault="00A65A4B" w:rsidP="00480228">
      <w:r w:rsidRPr="00480228">
        <w:t xml:space="preserve">3) Rejestr </w:t>
      </w:r>
      <w:proofErr w:type="spellStart"/>
      <w:r w:rsidRPr="00480228">
        <w:t>ryzyk</w:t>
      </w:r>
      <w:proofErr w:type="spellEnd"/>
      <w:r w:rsidRPr="00480228">
        <w:t xml:space="preserve"> z pełną analizą — zawierający minimum 50 scenariuszy zagrożeń, ocenę ryzyka dla wszystkich aktywów krytycznych. Termin: </w:t>
      </w:r>
      <w:r w:rsidR="00D12A68" w:rsidRPr="00480228">
        <w:t>30</w:t>
      </w:r>
      <w:r w:rsidRPr="00480228">
        <w:t xml:space="preserve"> dni od podpisania umowy.</w:t>
      </w:r>
    </w:p>
    <w:p w14:paraId="0001020A" w14:textId="7144E145" w:rsidR="0043524E" w:rsidRPr="00480228" w:rsidRDefault="00A65A4B" w:rsidP="00480228">
      <w:r w:rsidRPr="00480228">
        <w:t>4) Deklaracja Stosowania (</w:t>
      </w:r>
      <w:proofErr w:type="spellStart"/>
      <w:r w:rsidRPr="00480228">
        <w:t>SoA</w:t>
      </w:r>
      <w:proofErr w:type="spellEnd"/>
      <w:r w:rsidRPr="00480228">
        <w:t xml:space="preserve">) — obejmująca wszystkie 93 kontrole z Załącznika A normy ISO 27001:2022, z mapowaniem na wymagania KRI, </w:t>
      </w:r>
      <w:proofErr w:type="spellStart"/>
      <w:r w:rsidRPr="00480228">
        <w:t>UoKSC</w:t>
      </w:r>
      <w:proofErr w:type="spellEnd"/>
      <w:r w:rsidRPr="00480228">
        <w:t xml:space="preserve"> oraz RODO. Termin: </w:t>
      </w:r>
      <w:r w:rsidR="00D12A68" w:rsidRPr="00480228">
        <w:t>30</w:t>
      </w:r>
      <w:r w:rsidRPr="00480228">
        <w:t xml:space="preserve"> dni od podpisania umowy.</w:t>
      </w:r>
    </w:p>
    <w:p w14:paraId="0001023A" w14:textId="68C3B173" w:rsidR="0043524E" w:rsidRPr="00480228" w:rsidRDefault="00A65A4B" w:rsidP="00480228">
      <w:r w:rsidRPr="00480228">
        <w:t xml:space="preserve">5) Komplet procedur operacyjnych (minimum 40 sztuk) — każda procedura dostosowana do struktury organizacyjnej Urzędu, zawierająca przypisanie ról, terminów, formularzy. Termin: </w:t>
      </w:r>
      <w:r w:rsidR="00D12A68" w:rsidRPr="00480228">
        <w:t>45</w:t>
      </w:r>
      <w:r w:rsidRPr="00480228">
        <w:t xml:space="preserve"> dni od podpisania umowy.</w:t>
      </w:r>
    </w:p>
    <w:p w14:paraId="0001026A" w14:textId="0001026B" w:rsidR="0043524E" w:rsidRPr="00480228" w:rsidRDefault="00A65A4B" w:rsidP="00480228">
      <w:r w:rsidRPr="00480228">
        <w:t>6) Materiały szkoleniowe, testy kompetencyjne, listy obecności, certyfikaty wewnętrzne — dostosowane do specyfiki Urzędu. Termin: zgodnie z harmonogramem szkoleń.</w:t>
      </w:r>
    </w:p>
    <w:p w14:paraId="0001029A" w14:textId="0001029B" w:rsidR="0043524E" w:rsidRPr="00480228" w:rsidRDefault="00A65A4B" w:rsidP="00480228">
      <w:r w:rsidRPr="00480228">
        <w:t>7) Raport z audytu KRI §20 — zgodny z §20 ust. 1 i 2 rozporządzenia KRI, zawierający rekomendacje i harmonogram działań naprawczych. Termin: 14 dni roboczych po zakończeniu audytu.</w:t>
      </w:r>
    </w:p>
    <w:p w14:paraId="0001032A" w14:textId="0001032B" w:rsidR="0043524E" w:rsidRPr="00480228" w:rsidRDefault="00A65A4B" w:rsidP="00480228">
      <w:r w:rsidRPr="00480228">
        <w:t xml:space="preserve">8) Raport z audytu SZBI — zawierający analizę zgodności klauzula po klauzuli z ISO 27001:2022, raport z testów penetracyjnych, plan działań korygujących z </w:t>
      </w:r>
      <w:proofErr w:type="spellStart"/>
      <w:r w:rsidRPr="00480228">
        <w:t>priorytetyzacją</w:t>
      </w:r>
      <w:proofErr w:type="spellEnd"/>
      <w:r w:rsidRPr="00480228">
        <w:t>. Termin: 14 dni roboczych po zakończeniu audytu.</w:t>
      </w:r>
    </w:p>
    <w:p w14:paraId="0001035A" w14:textId="0001035B" w:rsidR="0043524E" w:rsidRPr="00480228" w:rsidRDefault="00A65A4B" w:rsidP="00480228">
      <w:r w:rsidRPr="00480228">
        <w:t>9) Instrukcja utrzymania SZBI — dokumentacja techniczna umożliwiająca samodzielne utrzymanie systemu przez wyznaczonych pracowników Zamawiającego.</w:t>
      </w:r>
    </w:p>
    <w:p w14:paraId="00010380" w14:textId="00010381" w:rsidR="0043524E" w:rsidRPr="00480228" w:rsidRDefault="0043524E" w:rsidP="00480228"/>
    <w:p w14:paraId="0001040A" w14:textId="0001040B" w:rsidR="0043524E" w:rsidRPr="00480228" w:rsidRDefault="00A65A4B" w:rsidP="00480228">
      <w:r w:rsidRPr="00480228">
        <w:t>Zamawiający zastrzega prawo zgłoszenia uwag do każdego produktu w terminie 14 dni roboczych od jego dostarczenia. Wykonawca zobowiązany jest do poprawienia produktu w terminie 7 dni roboczych od zgłoszenia uwag. Dopuszcza się maksymalnie 2 rundy poprawek. Dostarczenie dokumentacji generycznej, niezawierającej specyfiki Zamawiającego, stanowi podstawę do odmowy odbioru produktu.</w:t>
      </w:r>
    </w:p>
    <w:p w14:paraId="00010430" w14:textId="00010431" w:rsidR="0043524E" w:rsidRPr="00480228" w:rsidRDefault="0043524E" w:rsidP="00480228"/>
    <w:p w14:paraId="0001045C" w14:textId="0001045D" w:rsidR="0043524E" w:rsidRPr="00480228" w:rsidRDefault="00A65A4B" w:rsidP="00480228">
      <w:r w:rsidRPr="00480228">
        <w:t>j) Harmonogram ramowy realizacji zamówienia</w:t>
      </w:r>
    </w:p>
    <w:p w14:paraId="0001048A" w14:textId="0001048B" w:rsidR="0043524E" w:rsidRPr="00480228" w:rsidRDefault="00A65A4B" w:rsidP="00480228">
      <w:r w:rsidRPr="00480228">
        <w:t>Wykonawca zrealizuje zamówienie zgodnie z następującym harmonogramem ramowym:</w:t>
      </w:r>
    </w:p>
    <w:p w14:paraId="0001051A" w14:textId="7723A000" w:rsidR="0043524E" w:rsidRPr="00480228" w:rsidRDefault="00A65A4B" w:rsidP="00480228">
      <w:r w:rsidRPr="00480228">
        <w:t xml:space="preserve">Etap I </w:t>
      </w:r>
      <w:r w:rsidR="00D12A68" w:rsidRPr="00480228">
        <w:t xml:space="preserve">- </w:t>
      </w:r>
      <w:r w:rsidRPr="00480228">
        <w:t>Analiza kontekstu organizacji, identyfikacja aktywów, określenie granic SZBI, opracowanie metodyki oceny ryzyka.</w:t>
      </w:r>
    </w:p>
    <w:p w14:paraId="0001054A" w14:textId="3A88B486" w:rsidR="0043524E" w:rsidRPr="00480228" w:rsidRDefault="00A65A4B" w:rsidP="00480228">
      <w:r w:rsidRPr="00480228">
        <w:t xml:space="preserve">Etap II </w:t>
      </w:r>
      <w:r w:rsidR="00D12A68" w:rsidRPr="00480228">
        <w:t xml:space="preserve">- </w:t>
      </w:r>
      <w:r w:rsidRPr="00480228">
        <w:t>Przeprowadzenie analizy ryzyka, zaprojektowanie zabezpieczeń, opracowanie Deklaracji Stosowania.</w:t>
      </w:r>
    </w:p>
    <w:p w14:paraId="0001057A" w14:textId="0EDC35AD" w:rsidR="0043524E" w:rsidRPr="00480228" w:rsidRDefault="00A65A4B" w:rsidP="00480228">
      <w:r w:rsidRPr="00480228">
        <w:t xml:space="preserve">Etap III </w:t>
      </w:r>
      <w:r w:rsidR="00D12A68" w:rsidRPr="00480228">
        <w:t xml:space="preserve">- </w:t>
      </w:r>
      <w:r w:rsidRPr="00480228">
        <w:t>Opracowanie procedur operacyjnych, przeprowadzenie szkoleń.</w:t>
      </w:r>
    </w:p>
    <w:p w14:paraId="0001060A" w14:textId="01D12770" w:rsidR="0043524E" w:rsidRPr="00480228" w:rsidRDefault="00A65A4B" w:rsidP="00480228">
      <w:r w:rsidRPr="00480228">
        <w:t xml:space="preserve">Etap IV </w:t>
      </w:r>
      <w:r w:rsidR="00D12A68" w:rsidRPr="00480228">
        <w:t xml:space="preserve">- </w:t>
      </w:r>
      <w:r w:rsidRPr="00480228">
        <w:t>Wdrożenie procedur, konfiguracja systemów, testy skuteczności.</w:t>
      </w:r>
    </w:p>
    <w:p w14:paraId="0001063A" w14:textId="7F7124D2" w:rsidR="0043524E" w:rsidRPr="00480228" w:rsidRDefault="00A65A4B" w:rsidP="00480228">
      <w:r w:rsidRPr="00480228">
        <w:t xml:space="preserve">Etap V </w:t>
      </w:r>
      <w:r w:rsidR="00D12A68" w:rsidRPr="00480228">
        <w:t xml:space="preserve">- </w:t>
      </w:r>
      <w:r w:rsidRPr="00480228">
        <w:t>Przeprowadzenie audytu KRI §20 oraz audytu SZBI, opracowanie raportów.</w:t>
      </w:r>
    </w:p>
    <w:p w14:paraId="00010690" w14:textId="00010691" w:rsidR="0043524E" w:rsidRPr="00480228" w:rsidRDefault="0043524E" w:rsidP="00480228"/>
    <w:p w14:paraId="0001071C" w14:textId="0001071D" w:rsidR="0043524E" w:rsidRPr="00480228" w:rsidRDefault="00A65A4B" w:rsidP="00480228">
      <w:r w:rsidRPr="00480228">
        <w:t>k) Transfer wiedzy i wsparcie powdrożeniowe</w:t>
      </w:r>
    </w:p>
    <w:p w14:paraId="0001074A" w14:textId="0001074B" w:rsidR="0043524E" w:rsidRPr="00480228" w:rsidRDefault="00A65A4B" w:rsidP="00480228">
      <w:r w:rsidRPr="00480228">
        <w:t>Wykonawca zapewni:</w:t>
      </w:r>
    </w:p>
    <w:p w14:paraId="0001077A" w14:textId="0001077B" w:rsidR="0043524E" w:rsidRPr="00480228" w:rsidRDefault="00A65A4B" w:rsidP="00480228">
      <w:r w:rsidRPr="00480228">
        <w:t>1) Minimum 12 miesięcy wsparcia powdrożeniowego w formie konsultacji zdalnych (minimum 10 godzin miesięcznie), licząc od daty odbioru końcowego zamówienia.</w:t>
      </w:r>
    </w:p>
    <w:p w14:paraId="0001080A" w14:textId="0001080B" w:rsidR="0043524E" w:rsidRPr="00480228" w:rsidRDefault="00A65A4B" w:rsidP="00480228">
      <w:r w:rsidRPr="00480228">
        <w:t>2) Warsztat transferu wiedzy dla wyznaczonych pracowników Zamawiającego (minimum 8 godzin) obejmujący praktyczne aspekty utrzymania i doskonalenia SZBI.</w:t>
      </w:r>
    </w:p>
    <w:p w14:paraId="0001083A" w14:textId="0001083B" w:rsidR="0043524E" w:rsidRPr="00480228" w:rsidRDefault="00A65A4B" w:rsidP="00480228">
      <w:r w:rsidRPr="00480228">
        <w:t>3) Instrukcję utrzymania SZBI zawierającą harmonogram przeglądów cyklicznych, procedury aktualizacji dokumentacji, zasady monitorowania skuteczności zabezpieczeń.</w:t>
      </w:r>
    </w:p>
    <w:p w14:paraId="00010860" w14:textId="00010861" w:rsidR="0043524E" w:rsidRPr="00480228" w:rsidRDefault="0043524E" w:rsidP="00480228"/>
    <w:p w14:paraId="0001088C" w14:textId="0001088D" w:rsidR="0043524E" w:rsidRPr="00480228" w:rsidRDefault="00A65A4B" w:rsidP="00480228">
      <w:r w:rsidRPr="00480228">
        <w:t>l) Poufność i bezpieczeństwo danych Zamawiającego</w:t>
      </w:r>
    </w:p>
    <w:p w14:paraId="0001091A" w14:textId="0001091B" w:rsidR="0043524E" w:rsidRPr="00480228" w:rsidRDefault="00A65A4B" w:rsidP="00480228">
      <w:r w:rsidRPr="00480228">
        <w:t>Wykonawca zobowiązany jest do:</w:t>
      </w:r>
    </w:p>
    <w:p w14:paraId="0001094A" w14:textId="0001094B" w:rsidR="0043524E" w:rsidRPr="00480228" w:rsidRDefault="00A65A4B" w:rsidP="00480228">
      <w:r w:rsidRPr="00480228">
        <w:t>1) Podpisania umowy o zachowaniu poufności (NDA) przed rozpoczęciem prac, obejmującej wszystkie informacje uzyskane w trakcie realizacji zamówienia.</w:t>
      </w:r>
    </w:p>
    <w:p w14:paraId="0001097A" w14:textId="0001097B" w:rsidR="0043524E" w:rsidRPr="00480228" w:rsidRDefault="00A65A4B" w:rsidP="00480228">
      <w:r w:rsidRPr="00480228">
        <w:t>2) Przekazywania dokumentów zawierających informacje wrażliwe (wyniki audytów, analiz ryzyka, testów penetracyjnych) wyłącznie szyfrowanymi kanałami komunikacji.</w:t>
      </w:r>
    </w:p>
    <w:p w14:paraId="0001100A" w14:textId="0001100B" w:rsidR="0043524E" w:rsidRPr="00480228" w:rsidRDefault="00A65A4B" w:rsidP="00480228">
      <w:r w:rsidRPr="00480228">
        <w:t>3) Ograniczenia kręgu osób mających dostęp do wyników audytów i testów penetracyjnych do osób wskazanych imiennie w umowie.</w:t>
      </w:r>
    </w:p>
    <w:p w14:paraId="0001103A" w14:textId="0001103B" w:rsidR="0043524E" w:rsidRPr="00480228" w:rsidRDefault="00A65A4B" w:rsidP="00480228">
      <w:r w:rsidRPr="00480228">
        <w:t>4) Trwałego usunięcia wszystkich danych i dokumentów Zamawiającego po zakończeniu realizacji zamówienia, z pisemnym potwierdzeniem usunięcia.</w:t>
      </w:r>
    </w:p>
    <w:p w14:paraId="00011060" w14:textId="00011061" w:rsidR="0043524E" w:rsidRDefault="0043524E">
      <w:pPr>
        <w:spacing w:before="0" w:after="0"/>
      </w:pPr>
    </w:p>
    <w:p w14:paraId="71899948" w14:textId="77777777" w:rsidR="00AD03AE" w:rsidRPr="00AD03AE" w:rsidRDefault="00AD03AE" w:rsidP="00AD03AE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</w:p>
    <w:p w14:paraId="46CA45F5" w14:textId="77777777" w:rsidR="00AD03AE" w:rsidRPr="00AD03AE" w:rsidRDefault="00AD03AE" w:rsidP="00AD03AE">
      <w:pPr>
        <w:numPr>
          <w:ilvl w:val="0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b/>
          <w:bCs/>
          <w:sz w:val="22"/>
          <w:szCs w:val="22"/>
          <w:lang w:eastAsia="pl-PL"/>
        </w:rPr>
        <w:t>Wykonanie usługi audytu zgodności procedur z KRI  ,,Krajowymi Ramami Interoperacyjności”.</w:t>
      </w:r>
    </w:p>
    <w:p w14:paraId="58EAA9EF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00011220" w14:textId="3ADFDA2E" w:rsidR="0043524E" w:rsidRPr="003E57E7" w:rsidRDefault="00AD03AE" w:rsidP="003E57E7">
      <w:pPr>
        <w:spacing w:before="0" w:after="0"/>
        <w:ind w:firstLine="70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Zakres prac Wykonawcy do zrealizowania w ramach Audytu Krajowych Ram Interoperacyjności. Analiza KRI ma spełniać wymagania § 20 ust. 1 i 2 Rozporządzenia Rady Ministrów z dnia 12 kwietnia 2012 roku w sprawie Krajowych Ram Interoperacyjności, minimalnych wymagań dla rejestrów publicznych i wymiany informacji w postaci elektronicznej oraz minimalnych wymagań dla systemów teleinformatycznych (Dz. U. z 2017 r., poz. 2247) – dalej KRI, w szczególności ma obejmować weryfikację: </w:t>
      </w:r>
    </w:p>
    <w:p w14:paraId="5D66C3A8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dokumentacji dotyczącej Systemu Zarządzania Bezpieczeństwa Informacji </w:t>
      </w:r>
      <w:r>
        <w:rPr>
          <w:rFonts w:cs="Calibri"/>
          <w:sz w:val="22"/>
          <w:szCs w:val="22"/>
          <w:lang w:eastAsia="pl-PL"/>
        </w:rPr>
        <w:br/>
        <w:t>w organizacji Zamawiającego, </w:t>
      </w:r>
    </w:p>
    <w:p w14:paraId="4A6CFAB8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dotyczącą zapewnienia aktualizacji regulacji wewnętrznych w zakresie zmieniającego się otoczenia, </w:t>
      </w:r>
    </w:p>
    <w:p w14:paraId="51DB33E4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oceny aktualności inwentaryzacji sprzętu i oprogramowania służącego do przetwarzania informacji obejmującej ich rodzaj i konfigurację, </w:t>
      </w:r>
    </w:p>
    <w:p w14:paraId="6162A3DE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oceny przeprowadzonej przez Zamawiającego okresowej analiz ryzyka utraty integralności, dostępności lub poufności informacji oraz podejmowania działań minimalizujących to ryzyko, stosownie do wyników przeprowadzonej analizy, </w:t>
      </w:r>
    </w:p>
    <w:p w14:paraId="20356706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podejmowanych przez Zamawiającego działań zapewniających, że osoby zaangażowane w proces przetwarzania informacji posiadają stosowne uprawnienia                                    i uczestniczą w tym procesie w stopniu adekwatnym do realizowanych przez nie zadań oraz obowiązków mających na celu zapewnienie bezpieczeństwa informacji, </w:t>
      </w:r>
    </w:p>
    <w:p w14:paraId="3BBE0FD2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szkoleń osób zaangażowanych w proces przetwarzania informacji z uwzględnieniem aspektów związanych z bezpieczeństwem informacji, </w:t>
      </w:r>
    </w:p>
    <w:p w14:paraId="0571BF70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metod zapewniających ochronę przetwarzanych informacji przed ich kradzieżą, nieuprawnionym dostępem, uszkodzeniami lub zakłóceniami, </w:t>
      </w:r>
    </w:p>
    <w:p w14:paraId="77C9DE7C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oceny stosowanych zasad gwarantujących bezpieczną pracę przy przetwarzaniu mobilnym i pracy na odległość, </w:t>
      </w:r>
    </w:p>
    <w:p w14:paraId="16694119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metod zabezpieczenia informacji w sposób uniemożliwiający nieuprawnionemu jej ujawnienie, modyfikacje, usunięcie lub zniszczenie, </w:t>
      </w:r>
    </w:p>
    <w:p w14:paraId="5EF30DE8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ustalonych zapisów zawieranych w umowach serwisowych gwarantujących odpowiedni poziom bezpieczeństwa informacji, </w:t>
      </w:r>
    </w:p>
    <w:p w14:paraId="2D697578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zasad postępowania z informacjami, zapewniających minimalizację wystąpienia ryzyka kradzieży informacji i środków przetwarzania informacji, w tym urządzeń mobilnych, </w:t>
      </w:r>
    </w:p>
    <w:p w14:paraId="41CC3D8F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zapewnienia odpowiedniego określonego przez KRI poziomu bezpieczeństwa                          w systemach teleinformatycznych Zamawiającego, </w:t>
      </w:r>
    </w:p>
    <w:p w14:paraId="53625CEE" w14:textId="77777777" w:rsidR="00AD03AE" w:rsidRPr="00AD03AE" w:rsidRDefault="00AD03AE" w:rsidP="00AD03AE">
      <w:pPr>
        <w:numPr>
          <w:ilvl w:val="1"/>
          <w:numId w:val="109"/>
        </w:numPr>
        <w:spacing w:before="0" w:after="0" w:line="276" w:lineRule="auto"/>
        <w:contextualSpacing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sposobu postępowania z incydentami związanymi z bezpieczeństwem informacji.</w:t>
      </w:r>
      <w:r>
        <w:rPr>
          <w:rFonts w:cs="Calibri"/>
          <w:sz w:val="22"/>
          <w:szCs w:val="22"/>
          <w:lang w:eastAsia="pl-PL"/>
        </w:rPr>
        <w:br/>
      </w:r>
    </w:p>
    <w:p w14:paraId="7F940953" w14:textId="77777777" w:rsidR="00AD03AE" w:rsidRPr="00AD03AE" w:rsidRDefault="00AD03AE" w:rsidP="00AD03AE">
      <w:pPr>
        <w:spacing w:before="0" w:after="0"/>
        <w:ind w:firstLine="708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Wynikiem powyższych prac ma być raport, zawierający wnioski, zalecenia i rekomendacje mające na celu dokładne rozpoznanie i redukcję zidentyfikowanych ryzyka, zagrożeń, podatności                      i odstępstw od dobrych praktyk wraz ze wskazaniem konkretnych działań naprawczych.</w:t>
      </w:r>
      <w:r>
        <w:rPr>
          <w:rFonts w:cs="Calibri"/>
          <w:sz w:val="22"/>
          <w:szCs w:val="22"/>
          <w:lang w:eastAsia="pl-PL"/>
        </w:rPr>
        <w:br/>
        <w:t>Raport ma być dostarczony do Zamawiającego w terminie maksymalnie 14 dni roboczych po wykonaniu audytu. </w:t>
      </w:r>
    </w:p>
    <w:p w14:paraId="6D36A072" w14:textId="77777777" w:rsidR="00AD03AE" w:rsidRPr="00AD03AE" w:rsidRDefault="00AD03AE" w:rsidP="00AD03AE">
      <w:pPr>
        <w:spacing w:before="0" w:after="0"/>
        <w:ind w:firstLine="708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Osoby realizujące Audyt KRI od Wykonawcy powinny posiadać znajomość przepisów:</w:t>
      </w:r>
    </w:p>
    <w:p w14:paraId="63B639CF" w14:textId="77777777" w:rsidR="00AD03AE" w:rsidRPr="00AD03AE" w:rsidRDefault="00AD03AE" w:rsidP="00AD03AE">
      <w:pPr>
        <w:spacing w:before="0" w:after="0"/>
        <w:ind w:firstLine="708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- ustawa z dnia 17 lutego 2005 r. o informatyzacji działalności podmiotów realizujących zadania publiczne,</w:t>
      </w:r>
    </w:p>
    <w:p w14:paraId="60D4B8E7" w14:textId="77777777" w:rsidR="00AD03AE" w:rsidRPr="00AD03AE" w:rsidRDefault="00AD03AE" w:rsidP="00AD03AE">
      <w:pPr>
        <w:spacing w:before="0" w:after="0"/>
        <w:ind w:firstLine="708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- ustawa z dnia 16 października 2019 r. o zmianie ustawy o informatyzacji działalności podmiotów realizujących zadania publiczne oraz niektórych innych ustaw,</w:t>
      </w:r>
    </w:p>
    <w:p w14:paraId="5BC655AD" w14:textId="77777777" w:rsidR="00AD03AE" w:rsidRDefault="00AD03AE" w:rsidP="00AD03AE">
      <w:pPr>
        <w:spacing w:before="0" w:after="0"/>
        <w:ind w:firstLine="708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- obwieszczenie Prezesa Rady Ministrów z dnia 9 listopada w sprawie ogłoszenia jednolitego tekstu rozporządzenia Rady Ministrów w sprawie Krajowych Ram Interoperacyjności, minimalnych wymagań dla rejestrów publicznych i wymiany informacji w postaci elektronicznej oraz minimalnych wymagań dla systemów teleinformatycznych.</w:t>
      </w:r>
    </w:p>
    <w:p w14:paraId="1C3B37DB" w14:textId="77777777" w:rsidR="003E57E7" w:rsidRDefault="003E57E7" w:rsidP="003E57E7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Audytor wiodący KRI musi posiadać udokumentowane doświadczenie w przeprowadzeniu co najmniej 3 audytów KRI §20 w jednostkach samorządu terytorialnego w ciągu ostatnich 5 lat.</w:t>
      </w:r>
    </w:p>
    <w:p w14:paraId="26DA7C5E" w14:textId="77777777" w:rsidR="003E57E7" w:rsidRDefault="003E57E7" w:rsidP="003E57E7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Dodatkowo audyt KRI powinien obejmować weryfikację zgodności z §21 KRI (minimalne wymagania bezpieczeństwa systemów teleinformatycznych) oraz ocenę dojrzałości (</w:t>
      </w:r>
      <w:proofErr w:type="spellStart"/>
      <w:r>
        <w:rPr>
          <w:rFonts w:cs="Calibri"/>
          <w:sz w:val="22"/>
          <w:szCs w:val="22"/>
          <w:lang w:eastAsia="pl-PL"/>
        </w:rPr>
        <w:t>maturity</w:t>
      </w:r>
      <w:proofErr w:type="spellEnd"/>
      <w:r>
        <w:rPr>
          <w:rFonts w:cs="Calibri"/>
          <w:sz w:val="22"/>
          <w:szCs w:val="22"/>
          <w:lang w:eastAsia="pl-PL"/>
        </w:rPr>
        <w:t xml:space="preserve"> </w:t>
      </w:r>
      <w:proofErr w:type="spellStart"/>
      <w:r>
        <w:rPr>
          <w:rFonts w:cs="Calibri"/>
          <w:sz w:val="22"/>
          <w:szCs w:val="22"/>
          <w:lang w:eastAsia="pl-PL"/>
        </w:rPr>
        <w:t>level</w:t>
      </w:r>
      <w:proofErr w:type="spellEnd"/>
      <w:r>
        <w:rPr>
          <w:rFonts w:cs="Calibri"/>
          <w:sz w:val="22"/>
          <w:szCs w:val="22"/>
          <w:lang w:eastAsia="pl-PL"/>
        </w:rPr>
        <w:t>) organizacji w każdym z obszarów §20.</w:t>
      </w:r>
    </w:p>
    <w:p w14:paraId="62D1ACEE" w14:textId="5E252C1D" w:rsidR="00AD03AE" w:rsidRPr="00AD03AE" w:rsidRDefault="00AD03AE" w:rsidP="00AD03AE">
      <w:pPr>
        <w:spacing w:before="0" w:after="0"/>
        <w:ind w:firstLine="708"/>
        <w:jc w:val="both"/>
        <w:rPr>
          <w:rFonts w:eastAsia="Aptos" w:cs="Calibri"/>
          <w:kern w:val="2"/>
          <w:sz w:val="22"/>
          <w:szCs w:val="22"/>
          <w14:ligatures w14:val="standardContextual"/>
        </w:rPr>
      </w:pPr>
      <w:r>
        <w:rPr>
          <w:rFonts w:cs="Calibri"/>
          <w:sz w:val="22"/>
          <w:szCs w:val="22"/>
          <w:lang w:eastAsia="pl-PL"/>
        </w:rPr>
        <w:br/>
      </w:r>
      <w:r>
        <w:rPr>
          <w:rFonts w:cs="Calibri"/>
          <w:b/>
          <w:bCs/>
          <w:sz w:val="22"/>
          <w:szCs w:val="22"/>
          <w:lang w:eastAsia="pl-PL"/>
        </w:rPr>
        <w:t>    3. Wykonanie usługi audytu systemu zarządzania bezpieczeństwa informacji. </w:t>
      </w:r>
      <w:r>
        <w:rPr>
          <w:rFonts w:cs="Calibri"/>
          <w:b/>
          <w:bCs/>
          <w:sz w:val="22"/>
          <w:szCs w:val="22"/>
          <w:lang w:eastAsia="pl-PL"/>
        </w:rPr>
        <w:br/>
      </w:r>
    </w:p>
    <w:p w14:paraId="20E4138F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Systemu SZBI - Analiza Wewnętrzna i Zewnętrzna</w:t>
      </w:r>
    </w:p>
    <w:p w14:paraId="68CF1A68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6C34F03B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przeprowadzi kompleksowy przegląd systemu zarządzania bezpieczeństwem informacji obejmujący analizę kontekstu organizacyjnego Urzędu Gminy Kosów Lacki zgodnie z wymaganiami klauzul 4.1 i 4.2 normy ISO 27001:2022. Przegląd obejmie weryfikację zgodności z aktualnym stanem prawnym, w szczególności z przepisami ustawy o samorządzie gminnym, ustawy o finansach publicznych oraz rozporządzenia Rady Ministrów w sprawie Krajowych Ram Interoperacyjności.</w:t>
      </w:r>
    </w:p>
    <w:p w14:paraId="45F0E937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Analiza uwzględni mapowanie wszystkich interesariuszy systemu SZBI, w tym mieszkańców gminy jako odbiorców e-usług publicznych, jednostki organizacyjne gminy, organy nadzoru i kontroli, dostawców usług IT oraz podmioty przetwarzające dane w imieniu Zamawiającego. Wykonawca dokona przeglądu zgodności granic systemu z rzeczywistym zakresem przetwarzania informacji, weryfikując wszystkie lokalizacje przetwarzania danych, systemy informatyczne wykorzystywane do realizacji zadań publicznych oraz procesy outsourcingowe.</w:t>
      </w:r>
    </w:p>
    <w:p w14:paraId="462FBE78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Przegląd obejmie analizę skuteczności mechanizmów monitorowania i pomiaru efektywności SZBI,                   w tym weryfikację wskaźników KPI, systemu raportowania do kierownictwa oraz mechanizmów doskonalenia ciągłego zgodnych z cyklem PDCA.</w:t>
      </w:r>
    </w:p>
    <w:p w14:paraId="30AAD31E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2471F15A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Aktywów, Zasobów Ludzkich i Kompetencji</w:t>
      </w:r>
    </w:p>
    <w:p w14:paraId="4244E02A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67587642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Audyt aktywów informacyjnych obejmie kompleksową weryfikację rejestru aktywów pod kątem kompletności, aktualności oraz prawidłowości klasyfikacji. Wykonawca przeprowadzi próbkowanie minimum 30% aktywów krytycznych oraz 20% pozostałych aktywów, weryfikując przypisanie właścicieli, określenie wartości biznesowej oraz zastosowane zabezpieczenia. Szczególnej analizie poddane zostaną systemy przetwarzające dane szczególnych kategorii zgodnie z art. 9 RODO, systemy obsługujące rejestry publiczne oraz platformy świadczenia e-usług.</w:t>
      </w:r>
    </w:p>
    <w:p w14:paraId="47BDBB5C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Weryfikacja zasobów ludzkich obejmie analizę struktury organizacyjnej pod kątem przypisania ról                     i odpowiedzialności w zakresie bezpieczeństwa informacji, ocenę kompetencji pracowników poprzez testy wiedzy i wywiady, analizę skuteczności programu szkoleń oraz weryfikację procesów zarządzania uprawnieniami. Wykonawca przeprowadzi analizę macierzy kompetencji dla stanowisk kluczowych                  z punktu widzenia bezpieczeństwa informacji oraz dokona oceny kultury bezpieczeństwa w organizacji poprzez ankiety i obserwacje.</w:t>
      </w:r>
    </w:p>
    <w:p w14:paraId="54C99C27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557854F1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Analizy i Szacowania Ryzyka</w:t>
      </w:r>
    </w:p>
    <w:p w14:paraId="045F740D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5CF3C9AC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dokona krytycznej oceny stosowanej metodyki analizy ryzyka pod kątem jej adekwatności do specyfiki jednostki samorządu terytorialnego oraz zgodności z ISO/IEC 27005:2022. Weryfikacja obejmie prawidłowość identyfikacji zagrożeń charakterystycznych dla sektora publicznego, w tym zagrożeń wynikających z przepisów o dostępie do informacji publicznej, ataków APT ukierunkowanych na administrację publiczną oraz zagrożeń związanych z integracją z rejestrami państwowymi.</w:t>
      </w:r>
    </w:p>
    <w:p w14:paraId="0F8CB91C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Audyt procesu szacowania ryzyka obejmie weryfikację kryteriów oceny prawdopodobieństwa i skutków, analizę prawidłowości wyceny ryzyka rezydualnego, ocenę skuteczności przyjętych strategii postępowania z ryzykiem oraz weryfikację procesu akceptacji ryzyka przez kierownictwo. Wykonawca przeprowadzi niezależną analizę ryzyka dla minimum 10 procesów krytycznych i porówna wyniki z dokumentacją Zamawiającego.</w:t>
      </w:r>
    </w:p>
    <w:p w14:paraId="24A610AF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11DAD52E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Stosowanych Zabezpieczeń na Podstawie Zidentyfikowanych Zagrożeń</w:t>
      </w:r>
    </w:p>
    <w:p w14:paraId="133103C1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5A69C5E0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Audyt zabezpieczeń technicznych obejmie kompleksową analizę architektury bezpieczeństwa IT, w tym weryfikację segmentacji sieci, skuteczności firewalli i systemów IDS/IPS, mechanizmów kontroli dostępu oraz systemów wykrywania i reagowania na incydenty. Wykonawca przeprowadzi testy penetracyjne infrastruktury zewnętrznej i wewnętrznej zgodnie z metodyką OWASP dla aplikacji webowych oraz NIST SP 800-115 dla infrastruktury sieciowej.</w:t>
      </w:r>
    </w:p>
    <w:p w14:paraId="26D8F626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Analiza podatności systemów informatycznych będzie realizowana z wykorzystaniem automatycznych skanerów podatności oraz manualnej weryfikacji konfiguracji. Wykonawca przeprowadzi skanowanie wszystkich systemów produkcyjnych pod kątem znanych podatności (CVE), analizę konfiguracji systemów operacyjnych i aplikacji pod kątem zgodności z benchmarkami CIS, weryfikację aktualności łat bezpieczeństwa oraz analizę uprawnień i polityk haseł w Active Directory. Dodatkowo przeprowadzone zostaną testy socjotechniczne obejmujące kampanię </w:t>
      </w:r>
      <w:proofErr w:type="spellStart"/>
      <w:r>
        <w:rPr>
          <w:rFonts w:cs="Calibri"/>
          <w:sz w:val="22"/>
          <w:szCs w:val="22"/>
          <w:lang w:eastAsia="pl-PL"/>
        </w:rPr>
        <w:t>phishingową</w:t>
      </w:r>
      <w:proofErr w:type="spellEnd"/>
      <w:r>
        <w:rPr>
          <w:rFonts w:cs="Calibri"/>
          <w:sz w:val="22"/>
          <w:szCs w:val="22"/>
          <w:lang w:eastAsia="pl-PL"/>
        </w:rPr>
        <w:t xml:space="preserve"> oraz próby uzyskania nieautoryzowanego dostępu fizycznego.</w:t>
      </w:r>
    </w:p>
    <w:p w14:paraId="6C67C620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6428ADE9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Deklaracji Stosowania</w:t>
      </w:r>
    </w:p>
    <w:p w14:paraId="07A4C041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567033B6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przeprowadzi szczegółową weryfikację wszystkich 93 kontroli z Załącznika A normy ISO 27001:2022 pod kątem prawidłowości uzasadnienia wyboru lub wykluczenia, skuteczności wdrożenia oraz zgodności z rzeczywistym stanem. Dla każdej kontroli przeprowadzona zostanie weryfikacja dowodów wdrożenia poprzez przegląd dokumentacji, obserwację działania oraz testy skuteczności.</w:t>
      </w:r>
    </w:p>
    <w:p w14:paraId="297CAC81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Audyt obejmie weryfikację spójności deklaracji stosowania z wynikami analizy ryzyka, oceną kompletności pokrycia zidentyfikowanych zagrożeń przez wybrane kontrole oraz analizę zgodności               z wymaganiami prawnymi i regulacyjnymi specyficznymi dla jednostek samorządu terytorialnego.</w:t>
      </w:r>
    </w:p>
    <w:p w14:paraId="2EF28D1B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2A1C2026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Procedur i Instrukcji</w:t>
      </w:r>
    </w:p>
    <w:p w14:paraId="140A1565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61E37105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dokona kompleksowego przeglądu wszystkich procedur operacyjnych pod kątem zgodności z wymaganiami normy ISO 27001:2022, kompletności pokrycia wymagań wynikających                 z deklaracji stosowania, aktualności i zgodności z rzeczywistymi procesami oraz zrozumiałości                               i wykonywalności przez pracowników. Weryfikacja obejmie minimum 40 kluczowych procedur, w tym procedury zarządzania incydentami, kontroli dostępu, zarządzania zmianą, tworzenia kopii zapasowych oraz ciągłości działania.</w:t>
      </w:r>
    </w:p>
    <w:p w14:paraId="6D73C8E5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Audyt procedur będzie realizowany poprzez analizę dokumentacji, wywiady z właścicielami procesów, obserwację wykonywania procedur w praktyce oraz testy skuteczności wybranych procedur krytycznych. Wykonawca zweryfikuje również system zarządzania dokumentacją SZBI, w tym kontrolę wersji, dystrybucję oraz archiwizację dokumentów.</w:t>
      </w:r>
    </w:p>
    <w:p w14:paraId="0DEEF19B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22B776E4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Przegląd Szkoleń Wewnętrznych i Zarządzania Świadomością</w:t>
      </w:r>
    </w:p>
    <w:p w14:paraId="7358C96A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3033D761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Audyt programu szkoleń obejmie weryfikację planu szkoleń pod kątem pokrycia wszystkich grup pracowników, analizę materiałów szkoleniowych pod kątem aktualności i adekwatności, ocenę skuteczności szkoleń poprzez testy wiedzy i obserwację </w:t>
      </w:r>
      <w:proofErr w:type="spellStart"/>
      <w:r>
        <w:rPr>
          <w:rFonts w:cs="Calibri"/>
          <w:sz w:val="22"/>
          <w:szCs w:val="22"/>
          <w:lang w:eastAsia="pl-PL"/>
        </w:rPr>
        <w:t>zachowań</w:t>
      </w:r>
      <w:proofErr w:type="spellEnd"/>
      <w:r>
        <w:rPr>
          <w:rFonts w:cs="Calibri"/>
          <w:sz w:val="22"/>
          <w:szCs w:val="22"/>
          <w:lang w:eastAsia="pl-PL"/>
        </w:rPr>
        <w:t xml:space="preserve"> oraz weryfikację systemu ewidencji szkoleń i certyfikacji wewnętrznej.</w:t>
      </w:r>
    </w:p>
    <w:p w14:paraId="4FDA5F0E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Wykonawca przeprowadzi ocenę poziomu świadomości pracowników w zakresie bezpieczeństwa informacji poprzez ankiety, wywiady oraz testy praktyczne. Szczególnej weryfikacji poddana zostanie świadomość zagrożeń związanych z </w:t>
      </w:r>
      <w:proofErr w:type="spellStart"/>
      <w:r>
        <w:rPr>
          <w:rFonts w:cs="Calibri"/>
          <w:sz w:val="22"/>
          <w:szCs w:val="22"/>
          <w:lang w:eastAsia="pl-PL"/>
        </w:rPr>
        <w:t>phishingiem</w:t>
      </w:r>
      <w:proofErr w:type="spellEnd"/>
      <w:r>
        <w:rPr>
          <w:rFonts w:cs="Calibri"/>
          <w:sz w:val="22"/>
          <w:szCs w:val="22"/>
          <w:lang w:eastAsia="pl-PL"/>
        </w:rPr>
        <w:t>, inżynierią społeczną oraz ochroną danych osobowych w kontekście obsługi interesantów.</w:t>
      </w:r>
    </w:p>
    <w:p w14:paraId="077D8C7B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76830FD7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Analiza Podatności Systemów Informatycznych - Zakres Szczegółowy</w:t>
      </w:r>
    </w:p>
    <w:p w14:paraId="1D039E0C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2ED2FE6A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przeprowadzi kompleksową analizę podatności obejmującą skanowanie zewnętrznej infrastruktury sieciowej dostępnej z Internetu, w tym wszystkich publicznie dostępnych usług, aplikacji webowych BIP, e-PUAP oraz innych platform e-usług. Analiza wewnętrznej infrastruktury obejmie skanowanie wszystkich segmentów sieci, serwerów, stacji roboczych oraz urządzeń sieciowych pod kątem znanych podatności, błędów konfiguracji oraz przestarzałego oprogramowania.</w:t>
      </w:r>
    </w:p>
    <w:p w14:paraId="6F76E9FE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Przeprowadzona zostanie analiza aplikacji webowych zgodnie z OWASP Top 10, weryfikacja mechanizmów uwierzytelniania i autoryzacji, analiza odporności na ataki typu SQL </w:t>
      </w:r>
      <w:proofErr w:type="spellStart"/>
      <w:r>
        <w:rPr>
          <w:rFonts w:cs="Calibri"/>
          <w:sz w:val="22"/>
          <w:szCs w:val="22"/>
          <w:lang w:eastAsia="pl-PL"/>
        </w:rPr>
        <w:t>Injection</w:t>
      </w:r>
      <w:proofErr w:type="spellEnd"/>
      <w:r>
        <w:rPr>
          <w:rFonts w:cs="Calibri"/>
          <w:sz w:val="22"/>
          <w:szCs w:val="22"/>
          <w:lang w:eastAsia="pl-PL"/>
        </w:rPr>
        <w:t xml:space="preserve">, XSS, CSRF oraz weryfikacja bezpieczeństwa API wykorzystywanych do integracji z systemami zewnętrznymi. Wykonawca dokona również analizy konfiguracji baz danych, systemów backupu, mechanizmów szyfrowania oraz systemów antywirusowych i </w:t>
      </w:r>
      <w:proofErr w:type="spellStart"/>
      <w:r>
        <w:rPr>
          <w:rFonts w:cs="Calibri"/>
          <w:sz w:val="22"/>
          <w:szCs w:val="22"/>
          <w:lang w:eastAsia="pl-PL"/>
        </w:rPr>
        <w:t>antymalware</w:t>
      </w:r>
      <w:proofErr w:type="spellEnd"/>
      <w:r>
        <w:rPr>
          <w:rFonts w:cs="Calibri"/>
          <w:sz w:val="22"/>
          <w:szCs w:val="22"/>
          <w:lang w:eastAsia="pl-PL"/>
        </w:rPr>
        <w:t>.</w:t>
      </w:r>
    </w:p>
    <w:p w14:paraId="3FFBAC09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kern w:val="2"/>
          <w:sz w:val="22"/>
          <w:szCs w:val="22"/>
          <w14:ligatures w14:val="standardContextual"/>
        </w:rPr>
      </w:pPr>
    </w:p>
    <w:p w14:paraId="3503AB5D" w14:textId="77777777" w:rsidR="00AD03AE" w:rsidRPr="00AD03AE" w:rsidRDefault="00AD03AE" w:rsidP="00AD03AE">
      <w:pPr>
        <w:keepNext/>
        <w:keepLines/>
        <w:spacing w:before="0" w:after="0"/>
        <w:jc w:val="both"/>
        <w:outlineLvl w:val="2"/>
        <w:rPr>
          <w:rFonts w:cs="Calibri"/>
          <w:b/>
          <w:bCs/>
          <w:kern w:val="2"/>
          <w:sz w:val="22"/>
          <w:szCs w:val="22"/>
          <w14:ligatures w14:val="standardContextual"/>
        </w:rPr>
      </w:pPr>
      <w:r>
        <w:rPr>
          <w:rFonts w:cs="Calibri"/>
          <w:b/>
          <w:bCs/>
          <w:kern w:val="2"/>
          <w:sz w:val="22"/>
          <w:szCs w:val="22"/>
          <w14:ligatures w14:val="standardContextual"/>
        </w:rPr>
        <w:t>Raport i Rekomendacje</w:t>
      </w:r>
    </w:p>
    <w:p w14:paraId="68D1DD4F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</w:p>
    <w:p w14:paraId="56240753" w14:textId="304D262C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 xml:space="preserve">Raport z audytu będzie zawierał szczegółową analizę zgodności z każdą klauzulą normy ISO 27001:2022, listę niezgodności z kategoryzacją na niezgodności krytyczne, duże i małe, analizę </w:t>
      </w:r>
      <w:proofErr w:type="spellStart"/>
      <w:r>
        <w:rPr>
          <w:rFonts w:cs="Calibri"/>
          <w:sz w:val="22"/>
          <w:szCs w:val="22"/>
          <w:lang w:eastAsia="pl-PL"/>
        </w:rPr>
        <w:t>ryzyk</w:t>
      </w:r>
      <w:proofErr w:type="spellEnd"/>
      <w:r>
        <w:rPr>
          <w:rFonts w:cs="Calibri"/>
          <w:sz w:val="22"/>
          <w:szCs w:val="22"/>
          <w:lang w:eastAsia="pl-PL"/>
        </w:rPr>
        <w:t xml:space="preserve"> zidentyfikowanych podczas audytu wraz z rekomendacjami </w:t>
      </w:r>
      <w:proofErr w:type="spellStart"/>
      <w:r>
        <w:rPr>
          <w:rFonts w:cs="Calibri"/>
          <w:sz w:val="22"/>
          <w:szCs w:val="22"/>
          <w:lang w:eastAsia="pl-PL"/>
        </w:rPr>
        <w:t>mitygacji</w:t>
      </w:r>
      <w:proofErr w:type="spellEnd"/>
      <w:r>
        <w:rPr>
          <w:rFonts w:cs="Calibri"/>
          <w:sz w:val="22"/>
          <w:szCs w:val="22"/>
          <w:lang w:eastAsia="pl-PL"/>
        </w:rPr>
        <w:t xml:space="preserve">, szczegółowy raport z testów penetracyjnych i analizy podatności oraz plan działań korygujących z harmonogramem </w:t>
      </w:r>
      <w:r w:rsidR="00211B6E">
        <w:rPr>
          <w:rFonts w:cs="Calibri"/>
          <w:sz w:val="22"/>
          <w:szCs w:val="22"/>
          <w:lang w:eastAsia="pl-PL"/>
        </w:rPr>
        <w:t xml:space="preserve"> </w:t>
      </w:r>
      <w:r>
        <w:rPr>
          <w:rFonts w:cs="Calibri"/>
          <w:sz w:val="22"/>
          <w:szCs w:val="22"/>
          <w:lang w:eastAsia="pl-PL"/>
        </w:rPr>
        <w:t xml:space="preserve">i </w:t>
      </w:r>
      <w:proofErr w:type="spellStart"/>
      <w:r>
        <w:rPr>
          <w:rFonts w:cs="Calibri"/>
          <w:sz w:val="22"/>
          <w:szCs w:val="22"/>
          <w:lang w:eastAsia="pl-PL"/>
        </w:rPr>
        <w:t>priorytetyzacją</w:t>
      </w:r>
      <w:proofErr w:type="spellEnd"/>
      <w:r>
        <w:rPr>
          <w:rFonts w:cs="Calibri"/>
          <w:sz w:val="22"/>
          <w:szCs w:val="22"/>
          <w:lang w:eastAsia="pl-PL"/>
        </w:rPr>
        <w:t>.</w:t>
      </w:r>
    </w:p>
    <w:p w14:paraId="3F39DD02" w14:textId="77777777" w:rsidR="00AD03AE" w:rsidRPr="00AD03AE" w:rsidRDefault="00AD03AE" w:rsidP="00AD03AE">
      <w:pPr>
        <w:spacing w:before="0" w:after="0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t>Wykonawca zapewni prezentację wyników audytu dla kierownictwa Urzędu, warsztat z omówieniem zidentyfikowanych niezgodności i rekomendacji oraz wsparcie w opracowaniu planu działań korygujących. Raport będzie dostarczony w formie umożliwiającej wykorzystanie w procesie doskonalenia SZBI oraz jako dowód w procesach kontroli zewnętrznej.</w:t>
      </w:r>
    </w:p>
    <w:p w14:paraId="29E0781C" w14:textId="77777777" w:rsidR="00AD03AE" w:rsidRPr="00AD03AE" w:rsidRDefault="00AD03AE" w:rsidP="00AD03AE">
      <w:pPr>
        <w:spacing w:before="0" w:after="0"/>
        <w:ind w:firstLine="708"/>
        <w:jc w:val="both"/>
        <w:rPr>
          <w:rFonts w:cs="Calibri"/>
          <w:sz w:val="22"/>
          <w:szCs w:val="22"/>
          <w:lang w:eastAsia="pl-PL"/>
        </w:rPr>
      </w:pPr>
      <w:r>
        <w:rPr>
          <w:rFonts w:cs="Calibri"/>
          <w:sz w:val="22"/>
          <w:szCs w:val="22"/>
          <w:lang w:eastAsia="pl-PL"/>
        </w:rPr>
        <w:br/>
      </w:r>
      <w:r>
        <w:rPr>
          <w:rFonts w:cs="Calibri"/>
          <w:sz w:val="22"/>
          <w:szCs w:val="22"/>
          <w:lang w:eastAsia="pl-PL"/>
        </w:rPr>
        <w:br/>
        <w:t>Raport ma być dostarczony do Zamawiającego w terminie maksymalnie 14 dni roboczych po wykonaniu audytu. Osoby realizujące Audyt SZBI od Wykonawcy powinny posiadać znajomość przepisów:</w:t>
      </w:r>
      <w:r>
        <w:rPr>
          <w:rFonts w:cs="Calibri"/>
          <w:sz w:val="22"/>
          <w:szCs w:val="22"/>
          <w:lang w:eastAsia="pl-PL"/>
        </w:rPr>
        <w:br/>
        <w:t xml:space="preserve">-  Ustawy o Krajowym Systemie </w:t>
      </w:r>
      <w:proofErr w:type="spellStart"/>
      <w:r>
        <w:rPr>
          <w:rFonts w:cs="Calibri"/>
          <w:sz w:val="22"/>
          <w:szCs w:val="22"/>
          <w:lang w:eastAsia="pl-PL"/>
        </w:rPr>
        <w:t>Cyberbezpieczeństwa</w:t>
      </w:r>
      <w:proofErr w:type="spellEnd"/>
      <w:r>
        <w:rPr>
          <w:rFonts w:cs="Calibri"/>
          <w:sz w:val="22"/>
          <w:szCs w:val="22"/>
          <w:lang w:eastAsia="pl-PL"/>
        </w:rPr>
        <w:t>, przepisów dotyczących ochrony danych osobowych, innych uregulowań dotyczących bezpieczeństwa informacji: ustawy o informatyzacji działalności podmiotów realizujących zadania publiczne oraz aktów wykonawczych</w:t>
      </w:r>
      <w:r>
        <w:rPr>
          <w:rFonts w:cs="Calibri"/>
          <w:sz w:val="22"/>
          <w:szCs w:val="22"/>
          <w:lang w:eastAsia="pl-PL"/>
        </w:rPr>
        <w:br/>
        <w:t>- norm związanych z organizacją SZBI:  ISO 27001, 22301, 20000, 27017, 27035;</w:t>
      </w:r>
      <w:r>
        <w:rPr>
          <w:rFonts w:cs="Calibri"/>
          <w:sz w:val="22"/>
          <w:szCs w:val="22"/>
          <w:lang w:eastAsia="pl-PL"/>
        </w:rPr>
        <w:br/>
        <w:t>- normy PN 19011,</w:t>
      </w:r>
    </w:p>
    <w:p w14:paraId="0001140C" w14:textId="0001140D" w:rsidR="0043524E" w:rsidRDefault="00A65A4B">
      <w:pPr>
        <w:spacing w:before="120" w:after="60"/>
        <w:ind w:left="700"/>
        <w:jc w:val="both"/>
      </w:pPr>
      <w:r>
        <w:rPr>
          <w:rFonts w:cs="Calibri"/>
          <w:b/>
          <w:bCs/>
          <w:sz w:val="22"/>
          <w:szCs w:val="22"/>
          <w:lang w:eastAsia="pl-PL"/>
        </w:rPr>
        <w:t>Doprecyzowanie norm stanowiących kryteria audytu:</w:t>
      </w:r>
    </w:p>
    <w:p w14:paraId="0001143A" w14:textId="0001143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 xml:space="preserve">Normy stanowiące obowiązkowe kryteria audytu: ISO/IEC 27001:2022 (wszystkie klauzule 4–10 oraz Załącznik A), rozporządzenie KRI §20–21, RODO (w szczególności art. 32 i art. 35), ustawa o krajowym systemie </w:t>
      </w:r>
      <w:proofErr w:type="spellStart"/>
      <w:r>
        <w:rPr>
          <w:rFonts w:cs="Calibri"/>
          <w:sz w:val="22"/>
          <w:szCs w:val="22"/>
          <w:lang w:eastAsia="pl-PL"/>
        </w:rPr>
        <w:t>cyberbezpieczeństwa</w:t>
      </w:r>
      <w:proofErr w:type="spellEnd"/>
      <w:r>
        <w:rPr>
          <w:rFonts w:cs="Calibri"/>
          <w:sz w:val="22"/>
          <w:szCs w:val="22"/>
          <w:lang w:eastAsia="pl-PL"/>
        </w:rPr>
        <w:t xml:space="preserve"> w brzmieniu uwzględniającym implementację dyrektywy NIS-2.</w:t>
      </w:r>
    </w:p>
    <w:p w14:paraId="0001146A" w14:textId="0001146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Normy stanowiące ramy metodyczne audytu: PN-EN ISO 19011:2018 (wytyczne dotyczące audytowania systemów zarządzania), ISO/IEC 27005:2022 (zarządzanie ryzykiem bezpieczeństwa informacji).</w:t>
      </w:r>
    </w:p>
    <w:p w14:paraId="0001149A" w14:textId="0001149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Normy stanowiące dodatkowy kontekst (znajomość wymagana, ale niestanowiące formalnych kryteriów oceny zgodności): ISO 22301:2020 (ciągłość działania), ISO/IEC 27017 (bezpieczeństwo chmury), ISO/IEC 27035 (zarządzanie incydentami).</w:t>
      </w:r>
    </w:p>
    <w:p w14:paraId="00012070" w14:textId="00012071" w:rsidR="0043524E" w:rsidRDefault="0043524E">
      <w:pPr>
        <w:spacing w:before="0" w:after="0"/>
      </w:pPr>
    </w:p>
    <w:p w14:paraId="0001209E" w14:textId="0001209F" w:rsidR="0043524E" w:rsidRDefault="00A65A4B">
      <w:pPr>
        <w:spacing w:before="240" w:after="120"/>
        <w:ind w:left="360"/>
        <w:jc w:val="both"/>
        <w:outlineLvl w:val="1"/>
      </w:pPr>
      <w:r>
        <w:rPr>
          <w:rFonts w:cs="Calibri"/>
          <w:b/>
          <w:bCs/>
          <w:lang w:eastAsia="pl-PL"/>
        </w:rPr>
        <w:t>5. Koncepcja realizacji zamówienia</w:t>
      </w:r>
    </w:p>
    <w:p w14:paraId="00012120" w14:textId="00012121" w:rsidR="0043524E" w:rsidRDefault="0043524E">
      <w:pPr>
        <w:spacing w:before="0" w:after="0"/>
      </w:pPr>
    </w:p>
    <w:p w14:paraId="0001214A" w14:textId="0001214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Wykonawca zobowiązany jest do załączenia do oferty Koncepcji realizacji zamówienia (maksymalnie 15 stron), zawierającej:</w:t>
      </w:r>
    </w:p>
    <w:p w14:paraId="0001217A" w14:textId="0001217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a) Opis proponowanej metodyki realizacji zamówienia z uwzględnieniem specyfiki jednostki samorządu terytorialnego.</w:t>
      </w:r>
    </w:p>
    <w:p w14:paraId="0001220A" w14:textId="0001220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b) Proponowany harmonogram szczegółowy z kamieniami milowymi.</w:t>
      </w:r>
    </w:p>
    <w:p w14:paraId="0001223A" w14:textId="0001223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c) Opis zespołu projektowego z przypisaniem ról i odpowiedzialności.</w:t>
      </w:r>
    </w:p>
    <w:p w14:paraId="0001226A" w14:textId="0001226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d) Opis podejścia do analizy ryzyka i doboru zabezpieczeń.</w:t>
      </w:r>
    </w:p>
    <w:p w14:paraId="0001229A" w14:textId="0001229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e) Opis podejścia do testów penetracyjnych i analizy podatności.</w:t>
      </w:r>
    </w:p>
    <w:p w14:paraId="00012400" w14:textId="00012401" w:rsidR="0043524E" w:rsidRDefault="0043524E">
      <w:pPr>
        <w:spacing w:before="0" w:after="0"/>
      </w:pPr>
    </w:p>
    <w:p w14:paraId="0001242E" w14:textId="0001242F" w:rsidR="0043524E" w:rsidRDefault="00A65A4B">
      <w:pPr>
        <w:spacing w:before="240" w:after="120"/>
        <w:ind w:left="360"/>
        <w:jc w:val="both"/>
        <w:outlineLvl w:val="1"/>
      </w:pPr>
      <w:r>
        <w:rPr>
          <w:rFonts w:cs="Calibri"/>
          <w:b/>
          <w:bCs/>
          <w:lang w:eastAsia="pl-PL"/>
        </w:rPr>
        <w:t>6. Klauzula niezależności audytora</w:t>
      </w:r>
    </w:p>
    <w:p w14:paraId="00012450" w14:textId="00012451" w:rsidR="0043524E" w:rsidRDefault="0043524E">
      <w:pPr>
        <w:spacing w:before="0" w:after="0"/>
      </w:pPr>
    </w:p>
    <w:p w14:paraId="0001247A" w14:textId="0001247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Z uwagi na fakt, że przedmiot zamówienia obejmuje zarówno wdrożenie SZBI, jak i przeprowadzenie audytu SZBI, Zamawiający informuje, że audyt SZBI realizowany w ramach niniejszego zamówienia ma charakter audytu wdrożeniowego (potwierdzającego skuteczność wdrożenia) i nie zastępuje niezależnego audytu wewnętrznego wymaganego przez normę ISO 27001:2022, klauzula 9.2. Niezależny audyt wewnętrzny SZBI zostanie zlecony odrębnemu podmiotowi.</w:t>
      </w:r>
    </w:p>
    <w:p w14:paraId="00012500" w14:textId="00012501" w:rsidR="0043524E" w:rsidRDefault="0043524E">
      <w:pPr>
        <w:spacing w:before="0" w:after="0"/>
      </w:pPr>
    </w:p>
    <w:p w14:paraId="0001252E" w14:textId="0001252F" w:rsidR="0043524E" w:rsidRDefault="00A65A4B">
      <w:pPr>
        <w:spacing w:before="240" w:after="120"/>
        <w:ind w:left="360"/>
        <w:jc w:val="both"/>
        <w:outlineLvl w:val="1"/>
      </w:pPr>
      <w:r>
        <w:rPr>
          <w:rFonts w:cs="Calibri"/>
          <w:b/>
          <w:bCs/>
          <w:lang w:eastAsia="pl-PL"/>
        </w:rPr>
        <w:t>7. Klauzula dotycząca podwykonawstwa</w:t>
      </w:r>
    </w:p>
    <w:p w14:paraId="00012550" w14:textId="00012551" w:rsidR="0043524E" w:rsidRDefault="0043524E">
      <w:pPr>
        <w:spacing w:before="0" w:after="0"/>
      </w:pPr>
    </w:p>
    <w:p w14:paraId="0001257A" w14:textId="0001257B" w:rsidR="0043524E" w:rsidRDefault="00A65A4B">
      <w:pPr>
        <w:spacing w:before="0" w:after="0"/>
        <w:ind w:left="700"/>
        <w:jc w:val="both"/>
      </w:pPr>
      <w:r>
        <w:rPr>
          <w:rFonts w:cs="Calibri"/>
          <w:sz w:val="22"/>
          <w:szCs w:val="22"/>
          <w:lang w:eastAsia="pl-PL"/>
        </w:rPr>
        <w:t>Zamawiający na podstawie art. 462 ust. 2 ustawy Prawo zamówień publicznych zastrzega obowiązek osobistego wykonania przez Wykonawcę następujących kluczowych części zamówienia: przeprowadzenie audytu SZBI, przeprowadzenie audytu KRI §20 oraz przeprowadzenie testów penetracyjnych i analizy podatności. Pozostałe części zamówienia mogą być realizowane przy udziale podwykonawców, pod warunkiem wskazania ich w ofercie.</w:t>
      </w:r>
    </w:p>
    <w:p w14:paraId="00012600" w14:textId="00012601" w:rsidR="0043524E" w:rsidRDefault="0043524E">
      <w:pPr>
        <w:spacing w:before="0" w:after="0"/>
      </w:pPr>
    </w:p>
    <w:sectPr w:rsidR="0043524E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B6B23" w14:textId="77777777" w:rsidR="00A65A4B" w:rsidRDefault="00A65A4B">
      <w:r>
        <w:separator/>
      </w:r>
    </w:p>
  </w:endnote>
  <w:endnote w:type="continuationSeparator" w:id="0">
    <w:p w14:paraId="2141F455" w14:textId="77777777" w:rsidR="00A65A4B" w:rsidRDefault="00A65A4B">
      <w:r>
        <w:continuationSeparator/>
      </w:r>
    </w:p>
  </w:endnote>
  <w:endnote w:type="continuationNotice" w:id="1">
    <w:p w14:paraId="17824F17" w14:textId="77777777" w:rsidR="00A65A4B" w:rsidRDefault="00A65A4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8E59C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AD03AE" w:rsidRDefault="00FF5508" w:rsidP="00C24F21">
    <w:pPr>
      <w:pStyle w:val="Stopka"/>
      <w:tabs>
        <w:tab w:val="right" w:pos="9720"/>
      </w:tabs>
      <w:rPr>
        <w:rFonts w:ascii="Aptos" w:hAnsi="Aptos" w:cs="Aptos"/>
        <w:color w:val="646464"/>
        <w:sz w:val="10"/>
        <w:szCs w:val="10"/>
      </w:rPr>
    </w:pPr>
    <w:r w:rsidRPr="00AD03AE">
      <w:rPr>
        <w:rFonts w:ascii="Aptos" w:hAnsi="Aptos" w:cs="Aptos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5A4B">
      <w:rPr>
        <w:rFonts w:ascii="Aptos" w:hAnsi="Aptos" w:cs="Aptos"/>
        <w:noProof/>
        <w:sz w:val="10"/>
        <w:szCs w:val="10"/>
      </w:rPr>
      <w:pict w14:anchorId="709AC2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D03AE">
      <w:rPr>
        <w:rFonts w:ascii="Aptos" w:hAnsi="Aptos" w:cs="Aptos"/>
        <w:color w:val="646464"/>
        <w:sz w:val="10"/>
        <w:szCs w:val="10"/>
      </w:rPr>
      <w:t xml:space="preserve">CENTRUM PROJEKTÓW POLSKA CYFROWA </w:t>
    </w:r>
    <w:r w:rsidR="00C24F21" w:rsidRPr="00AD03AE">
      <w:rPr>
        <w:rFonts w:ascii="Aptos" w:hAnsi="Aptos" w:cs="Aptos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CE99A8F" w:rsidR="00760990" w:rsidRPr="00AD03AE" w:rsidRDefault="00A25198" w:rsidP="00A25198">
    <w:pPr>
      <w:pStyle w:val="Stopka"/>
      <w:tabs>
        <w:tab w:val="right" w:pos="9720"/>
      </w:tabs>
      <w:rPr>
        <w:rFonts w:ascii="Aptos" w:hAnsi="Aptos" w:cs="Aptos"/>
        <w:color w:val="646464"/>
        <w:sz w:val="10"/>
        <w:szCs w:val="10"/>
      </w:rPr>
    </w:pPr>
    <w:r w:rsidRPr="00AD03AE">
      <w:rPr>
        <w:rFonts w:ascii="Aptos" w:hAnsi="Aptos" w:cs="Aptos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D03AE">
      <w:rPr>
        <w:rFonts w:ascii="Aptos" w:hAnsi="Aptos" w:cs="Aptos"/>
        <w:color w:val="646464"/>
        <w:sz w:val="10"/>
        <w:szCs w:val="10"/>
      </w:rPr>
      <w:t xml:space="preserve">CENTRUM PROJEKTÓW POLSKA CYFROWA </w:t>
    </w:r>
    <w:r w:rsidRPr="00AD03AE">
      <w:rPr>
        <w:rFonts w:ascii="Aptos" w:hAnsi="Aptos" w:cs="Aptos"/>
        <w:color w:val="646464"/>
        <w:sz w:val="10"/>
        <w:szCs w:val="10"/>
      </w:rPr>
      <w:br/>
      <w:t>ul. Spokojna 13A, 01-044 Warszawa | infolinia: +48 223152340 | e-mail: cppc@cppc.gov.pl</w:t>
    </w:r>
    <w:r w:rsidR="0098255B" w:rsidRPr="00AD03AE">
      <w:rPr>
        <w:rFonts w:ascii="Aptos" w:hAnsi="Aptos" w:cs="Aptos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0559464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5773142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70E7" w14:textId="77777777" w:rsidR="00A65A4B" w:rsidRDefault="00A65A4B">
      <w:r>
        <w:separator/>
      </w:r>
    </w:p>
  </w:footnote>
  <w:footnote w:type="continuationSeparator" w:id="0">
    <w:p w14:paraId="7461865A" w14:textId="77777777" w:rsidR="00A65A4B" w:rsidRDefault="00A65A4B">
      <w:r>
        <w:continuationSeparator/>
      </w:r>
    </w:p>
  </w:footnote>
  <w:footnote w:type="continuationNotice" w:id="1">
    <w:p w14:paraId="3AE4E041" w14:textId="77777777" w:rsidR="00A65A4B" w:rsidRDefault="00A65A4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8E59CD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15B"/>
    <w:multiLevelType w:val="hybridMultilevel"/>
    <w:tmpl w:val="B252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406FB"/>
    <w:multiLevelType w:val="hybridMultilevel"/>
    <w:tmpl w:val="1D3AB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10479"/>
    <w:multiLevelType w:val="hybridMultilevel"/>
    <w:tmpl w:val="A770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B6A8C"/>
    <w:multiLevelType w:val="hybridMultilevel"/>
    <w:tmpl w:val="B248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65372"/>
    <w:multiLevelType w:val="hybridMultilevel"/>
    <w:tmpl w:val="1102C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80229"/>
    <w:multiLevelType w:val="hybridMultilevel"/>
    <w:tmpl w:val="1EE80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A09BF"/>
    <w:multiLevelType w:val="multilevel"/>
    <w:tmpl w:val="49D25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C46533"/>
    <w:multiLevelType w:val="hybridMultilevel"/>
    <w:tmpl w:val="35740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C69F9"/>
    <w:multiLevelType w:val="hybridMultilevel"/>
    <w:tmpl w:val="9F1C7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51934"/>
    <w:multiLevelType w:val="hybridMultilevel"/>
    <w:tmpl w:val="37840BD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B7EF4"/>
    <w:multiLevelType w:val="hybridMultilevel"/>
    <w:tmpl w:val="52A27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306798"/>
    <w:multiLevelType w:val="hybridMultilevel"/>
    <w:tmpl w:val="176CE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4713F"/>
    <w:multiLevelType w:val="hybridMultilevel"/>
    <w:tmpl w:val="8FA41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BB09A0"/>
    <w:multiLevelType w:val="hybridMultilevel"/>
    <w:tmpl w:val="F55C89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4113CE"/>
    <w:multiLevelType w:val="hybridMultilevel"/>
    <w:tmpl w:val="0F5A2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B65A2D"/>
    <w:multiLevelType w:val="hybridMultilevel"/>
    <w:tmpl w:val="73BEE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6A36FD"/>
    <w:multiLevelType w:val="hybridMultilevel"/>
    <w:tmpl w:val="6F605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725AF"/>
    <w:multiLevelType w:val="hybridMultilevel"/>
    <w:tmpl w:val="A47CC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6F50E3"/>
    <w:multiLevelType w:val="hybridMultilevel"/>
    <w:tmpl w:val="A680F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D65B58"/>
    <w:multiLevelType w:val="hybridMultilevel"/>
    <w:tmpl w:val="FCFE5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3A104E"/>
    <w:multiLevelType w:val="hybridMultilevel"/>
    <w:tmpl w:val="745A1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04378C"/>
    <w:multiLevelType w:val="hybridMultilevel"/>
    <w:tmpl w:val="8348F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128EE"/>
    <w:multiLevelType w:val="hybridMultilevel"/>
    <w:tmpl w:val="ECD8A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696727"/>
    <w:multiLevelType w:val="hybridMultilevel"/>
    <w:tmpl w:val="403E1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D51CE7"/>
    <w:multiLevelType w:val="hybridMultilevel"/>
    <w:tmpl w:val="EDEE6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260414"/>
    <w:multiLevelType w:val="hybridMultilevel"/>
    <w:tmpl w:val="3AD44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89733C"/>
    <w:multiLevelType w:val="hybridMultilevel"/>
    <w:tmpl w:val="35A42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585C1C"/>
    <w:multiLevelType w:val="hybridMultilevel"/>
    <w:tmpl w:val="D940F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EA17F7"/>
    <w:multiLevelType w:val="hybridMultilevel"/>
    <w:tmpl w:val="BAD4F654"/>
    <w:lvl w:ilvl="0" w:tplc="88967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A270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9465C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CC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460F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ECA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18E5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366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4E8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18F072"/>
    <w:multiLevelType w:val="hybridMultilevel"/>
    <w:tmpl w:val="20FE17AC"/>
    <w:lvl w:ilvl="0" w:tplc="752A5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F231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99A0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65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06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4805F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263F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1A2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DD6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E71EB6"/>
    <w:multiLevelType w:val="hybridMultilevel"/>
    <w:tmpl w:val="0EAA0F90"/>
    <w:lvl w:ilvl="0" w:tplc="E4122EB8">
      <w:start w:val="1"/>
      <w:numFmt w:val="decimal"/>
      <w:lvlText w:val="%1."/>
      <w:lvlJc w:val="left"/>
      <w:pPr>
        <w:ind w:left="700" w:hanging="360"/>
      </w:pPr>
      <w:rPr>
        <w:b/>
      </w:rPr>
    </w:lvl>
    <w:lvl w:ilvl="1" w:tplc="4A9CD114">
      <w:start w:val="1"/>
      <w:numFmt w:val="lowerLetter"/>
      <w:lvlText w:val="%2)"/>
      <w:lvlJc w:val="left"/>
      <w:pPr>
        <w:ind w:left="1420" w:hanging="360"/>
      </w:pPr>
      <w:rPr>
        <w:rFonts w:ascii="Garamond" w:hAnsi="Garamond" w:hint="default"/>
      </w:rPr>
    </w:lvl>
    <w:lvl w:ilvl="2" w:tplc="E6B6705E">
      <w:start w:val="1"/>
      <w:numFmt w:val="lowerLetter"/>
      <w:lvlText w:val="%3."/>
      <w:lvlJc w:val="right"/>
      <w:pPr>
        <w:ind w:left="2140" w:hanging="180"/>
      </w:pPr>
      <w:rPr>
        <w:rFonts w:ascii="Garamond" w:eastAsia="Times New Roman" w:hAnsi="Garamond" w:cs="Times New Roman"/>
      </w:r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21992751"/>
    <w:multiLevelType w:val="hybridMultilevel"/>
    <w:tmpl w:val="8D4AB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F5068E"/>
    <w:multiLevelType w:val="hybridMultilevel"/>
    <w:tmpl w:val="35B85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62390F"/>
    <w:multiLevelType w:val="hybridMultilevel"/>
    <w:tmpl w:val="86A28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0E6DBF"/>
    <w:multiLevelType w:val="hybridMultilevel"/>
    <w:tmpl w:val="2F7C0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C66916"/>
    <w:multiLevelType w:val="hybridMultilevel"/>
    <w:tmpl w:val="99C22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654051"/>
    <w:multiLevelType w:val="multilevel"/>
    <w:tmpl w:val="4870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98F107B"/>
    <w:multiLevelType w:val="hybridMultilevel"/>
    <w:tmpl w:val="AF90D896"/>
    <w:lvl w:ilvl="0" w:tplc="01DCA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A1E09AB"/>
    <w:multiLevelType w:val="multilevel"/>
    <w:tmpl w:val="2E90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B0F1195"/>
    <w:multiLevelType w:val="hybridMultilevel"/>
    <w:tmpl w:val="67301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AD5179"/>
    <w:multiLevelType w:val="multilevel"/>
    <w:tmpl w:val="8C0660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BBD39A5"/>
    <w:multiLevelType w:val="hybridMultilevel"/>
    <w:tmpl w:val="5484C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2F37C4"/>
    <w:multiLevelType w:val="hybridMultilevel"/>
    <w:tmpl w:val="E77AD6F0"/>
    <w:lvl w:ilvl="0" w:tplc="6E401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16D0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C61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5C3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56ED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80EA0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9EE8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4E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A96B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CD64AA"/>
    <w:multiLevelType w:val="hybridMultilevel"/>
    <w:tmpl w:val="4DF89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FAA4A89"/>
    <w:multiLevelType w:val="hybridMultilevel"/>
    <w:tmpl w:val="4B383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FAE683F"/>
    <w:multiLevelType w:val="hybridMultilevel"/>
    <w:tmpl w:val="5A12D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2045DA"/>
    <w:multiLevelType w:val="hybridMultilevel"/>
    <w:tmpl w:val="10747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20A65B4"/>
    <w:multiLevelType w:val="hybridMultilevel"/>
    <w:tmpl w:val="F9A60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2831079"/>
    <w:multiLevelType w:val="hybridMultilevel"/>
    <w:tmpl w:val="57F0F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2AF2B44"/>
    <w:multiLevelType w:val="hybridMultilevel"/>
    <w:tmpl w:val="0BF6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322646E"/>
    <w:multiLevelType w:val="hybridMultilevel"/>
    <w:tmpl w:val="2DF22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4B66390"/>
    <w:multiLevelType w:val="hybridMultilevel"/>
    <w:tmpl w:val="C9D68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68976CC"/>
    <w:multiLevelType w:val="hybridMultilevel"/>
    <w:tmpl w:val="8EBA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9B0A5B"/>
    <w:multiLevelType w:val="multilevel"/>
    <w:tmpl w:val="0C66FEC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80842CA"/>
    <w:multiLevelType w:val="hybridMultilevel"/>
    <w:tmpl w:val="5A12D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4D3371"/>
    <w:multiLevelType w:val="hybridMultilevel"/>
    <w:tmpl w:val="6212B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6C45BA"/>
    <w:multiLevelType w:val="multilevel"/>
    <w:tmpl w:val="803C17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A965AC0"/>
    <w:multiLevelType w:val="hybridMultilevel"/>
    <w:tmpl w:val="87AE9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276E4A"/>
    <w:multiLevelType w:val="hybridMultilevel"/>
    <w:tmpl w:val="D1AC3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093C8C"/>
    <w:multiLevelType w:val="hybridMultilevel"/>
    <w:tmpl w:val="066A8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BB7B03"/>
    <w:multiLevelType w:val="hybridMultilevel"/>
    <w:tmpl w:val="DA800F3E"/>
    <w:lvl w:ilvl="0" w:tplc="A438600A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3DF17786"/>
    <w:multiLevelType w:val="hybridMultilevel"/>
    <w:tmpl w:val="411AF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624829"/>
    <w:multiLevelType w:val="hybridMultilevel"/>
    <w:tmpl w:val="24009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03912D5"/>
    <w:multiLevelType w:val="hybridMultilevel"/>
    <w:tmpl w:val="5C3CE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4E3EA9"/>
    <w:multiLevelType w:val="hybridMultilevel"/>
    <w:tmpl w:val="3E861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14655E6"/>
    <w:multiLevelType w:val="hybridMultilevel"/>
    <w:tmpl w:val="60F4D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2353B3A"/>
    <w:multiLevelType w:val="hybridMultilevel"/>
    <w:tmpl w:val="C1324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2975F67"/>
    <w:multiLevelType w:val="hybridMultilevel"/>
    <w:tmpl w:val="FDA67BAA"/>
    <w:lvl w:ilvl="0" w:tplc="EE5A9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2E86DD5"/>
    <w:multiLevelType w:val="hybridMultilevel"/>
    <w:tmpl w:val="C6228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4135631"/>
    <w:multiLevelType w:val="hybridMultilevel"/>
    <w:tmpl w:val="ACE41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6114AA8"/>
    <w:multiLevelType w:val="hybridMultilevel"/>
    <w:tmpl w:val="95709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DA72FC"/>
    <w:multiLevelType w:val="hybridMultilevel"/>
    <w:tmpl w:val="F6223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A2000A9"/>
    <w:multiLevelType w:val="hybridMultilevel"/>
    <w:tmpl w:val="DE983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FA70C93"/>
    <w:multiLevelType w:val="hybridMultilevel"/>
    <w:tmpl w:val="1BA63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0B27523"/>
    <w:multiLevelType w:val="hybridMultilevel"/>
    <w:tmpl w:val="22D23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A07111"/>
    <w:multiLevelType w:val="hybridMultilevel"/>
    <w:tmpl w:val="F06CD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3F1322"/>
    <w:multiLevelType w:val="hybridMultilevel"/>
    <w:tmpl w:val="51BC0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0A7540"/>
    <w:multiLevelType w:val="hybridMultilevel"/>
    <w:tmpl w:val="E4842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CBF496E"/>
    <w:multiLevelType w:val="hybridMultilevel"/>
    <w:tmpl w:val="AA4C8E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D6409C0"/>
    <w:multiLevelType w:val="hybridMultilevel"/>
    <w:tmpl w:val="9D30C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441B3D"/>
    <w:multiLevelType w:val="hybridMultilevel"/>
    <w:tmpl w:val="5380D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EAD6568"/>
    <w:multiLevelType w:val="hybridMultilevel"/>
    <w:tmpl w:val="07688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3A0F28"/>
    <w:multiLevelType w:val="hybridMultilevel"/>
    <w:tmpl w:val="51045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EA1BDF"/>
    <w:multiLevelType w:val="hybridMultilevel"/>
    <w:tmpl w:val="E7A2C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23556F2"/>
    <w:multiLevelType w:val="hybridMultilevel"/>
    <w:tmpl w:val="8CDC4F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2F4681C"/>
    <w:multiLevelType w:val="hybridMultilevel"/>
    <w:tmpl w:val="7E3AE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30A3640"/>
    <w:multiLevelType w:val="multilevel"/>
    <w:tmpl w:val="06AC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31E4232"/>
    <w:multiLevelType w:val="hybridMultilevel"/>
    <w:tmpl w:val="85EEA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50C46BC"/>
    <w:multiLevelType w:val="hybridMultilevel"/>
    <w:tmpl w:val="D8640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70A267D"/>
    <w:multiLevelType w:val="hybridMultilevel"/>
    <w:tmpl w:val="57D4CCBC"/>
    <w:lvl w:ilvl="0" w:tplc="ED9C1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C23E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8546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47E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A1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55E5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3C4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BC2B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ABE6C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CB263B"/>
    <w:multiLevelType w:val="hybridMultilevel"/>
    <w:tmpl w:val="B270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7E45C90"/>
    <w:multiLevelType w:val="hybridMultilevel"/>
    <w:tmpl w:val="A7B20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A533C07"/>
    <w:multiLevelType w:val="hybridMultilevel"/>
    <w:tmpl w:val="1BF04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E4800C6"/>
    <w:multiLevelType w:val="hybridMultilevel"/>
    <w:tmpl w:val="A8626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E7E1B98"/>
    <w:multiLevelType w:val="multilevel"/>
    <w:tmpl w:val="8276700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70967CDF"/>
    <w:multiLevelType w:val="hybridMultilevel"/>
    <w:tmpl w:val="9B0249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0B47287"/>
    <w:multiLevelType w:val="hybridMultilevel"/>
    <w:tmpl w:val="ED384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1C728DC"/>
    <w:multiLevelType w:val="hybridMultilevel"/>
    <w:tmpl w:val="605AE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20B50B8"/>
    <w:multiLevelType w:val="hybridMultilevel"/>
    <w:tmpl w:val="BCC2E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28108C7"/>
    <w:multiLevelType w:val="hybridMultilevel"/>
    <w:tmpl w:val="CB90DE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4E971EF"/>
    <w:multiLevelType w:val="hybridMultilevel"/>
    <w:tmpl w:val="45F2C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7302FE5"/>
    <w:multiLevelType w:val="hybridMultilevel"/>
    <w:tmpl w:val="527CB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73C18EA"/>
    <w:multiLevelType w:val="hybridMultilevel"/>
    <w:tmpl w:val="21CE3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8965340"/>
    <w:multiLevelType w:val="hybridMultilevel"/>
    <w:tmpl w:val="FDF2C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8EA7579"/>
    <w:multiLevelType w:val="hybridMultilevel"/>
    <w:tmpl w:val="E562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9613E9F"/>
    <w:multiLevelType w:val="hybridMultilevel"/>
    <w:tmpl w:val="9782FFAA"/>
    <w:lvl w:ilvl="0" w:tplc="AC96644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68B66BE0">
      <w:start w:val="1"/>
      <w:numFmt w:val="lowerLetter"/>
      <w:lvlText w:val="%2."/>
      <w:lvlJc w:val="left"/>
      <w:pPr>
        <w:ind w:left="1440" w:hanging="360"/>
      </w:pPr>
    </w:lvl>
    <w:lvl w:ilvl="2" w:tplc="D4D8187E">
      <w:start w:val="1"/>
      <w:numFmt w:val="lowerRoman"/>
      <w:lvlText w:val="%3."/>
      <w:lvlJc w:val="right"/>
      <w:pPr>
        <w:ind w:left="2160" w:hanging="180"/>
      </w:pPr>
    </w:lvl>
    <w:lvl w:ilvl="3" w:tplc="0F64DDF0">
      <w:start w:val="1"/>
      <w:numFmt w:val="decimal"/>
      <w:lvlText w:val="%4."/>
      <w:lvlJc w:val="left"/>
      <w:pPr>
        <w:ind w:left="2880" w:hanging="360"/>
      </w:pPr>
    </w:lvl>
    <w:lvl w:ilvl="4" w:tplc="F2ECEBEA">
      <w:start w:val="1"/>
      <w:numFmt w:val="lowerLetter"/>
      <w:lvlText w:val="%5."/>
      <w:lvlJc w:val="left"/>
      <w:pPr>
        <w:ind w:left="3600" w:hanging="360"/>
      </w:pPr>
    </w:lvl>
    <w:lvl w:ilvl="5" w:tplc="29285DFE">
      <w:start w:val="1"/>
      <w:numFmt w:val="lowerRoman"/>
      <w:lvlText w:val="%6."/>
      <w:lvlJc w:val="right"/>
      <w:pPr>
        <w:ind w:left="4320" w:hanging="180"/>
      </w:pPr>
    </w:lvl>
    <w:lvl w:ilvl="6" w:tplc="6DBAD76E">
      <w:start w:val="1"/>
      <w:numFmt w:val="decimal"/>
      <w:lvlText w:val="%7."/>
      <w:lvlJc w:val="left"/>
      <w:pPr>
        <w:ind w:left="5040" w:hanging="360"/>
      </w:pPr>
    </w:lvl>
    <w:lvl w:ilvl="7" w:tplc="17E63B6C">
      <w:start w:val="1"/>
      <w:numFmt w:val="lowerLetter"/>
      <w:lvlText w:val="%8."/>
      <w:lvlJc w:val="left"/>
      <w:pPr>
        <w:ind w:left="5760" w:hanging="360"/>
      </w:pPr>
    </w:lvl>
    <w:lvl w:ilvl="8" w:tplc="23DE493C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203727"/>
    <w:multiLevelType w:val="hybridMultilevel"/>
    <w:tmpl w:val="11EAB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3F1C80"/>
    <w:multiLevelType w:val="hybridMultilevel"/>
    <w:tmpl w:val="300CA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E5C5359"/>
    <w:multiLevelType w:val="hybridMultilevel"/>
    <w:tmpl w:val="8D240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F1E69DB"/>
    <w:multiLevelType w:val="hybridMultilevel"/>
    <w:tmpl w:val="77183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765726">
    <w:abstractNumId w:val="54"/>
  </w:num>
  <w:num w:numId="2" w16cid:durableId="567568497">
    <w:abstractNumId w:val="45"/>
  </w:num>
  <w:num w:numId="3" w16cid:durableId="842092276">
    <w:abstractNumId w:val="9"/>
  </w:num>
  <w:num w:numId="4" w16cid:durableId="109904384">
    <w:abstractNumId w:val="98"/>
  </w:num>
  <w:num w:numId="5" w16cid:durableId="1437556124">
    <w:abstractNumId w:val="3"/>
  </w:num>
  <w:num w:numId="6" w16cid:durableId="1801485928">
    <w:abstractNumId w:val="83"/>
  </w:num>
  <w:num w:numId="7" w16cid:durableId="695154848">
    <w:abstractNumId w:val="51"/>
  </w:num>
  <w:num w:numId="8" w16cid:durableId="1730686770">
    <w:abstractNumId w:val="81"/>
  </w:num>
  <w:num w:numId="9" w16cid:durableId="1555043267">
    <w:abstractNumId w:val="58"/>
  </w:num>
  <w:num w:numId="10" w16cid:durableId="693502297">
    <w:abstractNumId w:val="70"/>
  </w:num>
  <w:num w:numId="11" w16cid:durableId="1718774777">
    <w:abstractNumId w:val="27"/>
  </w:num>
  <w:num w:numId="12" w16cid:durableId="1592661496">
    <w:abstractNumId w:val="106"/>
  </w:num>
  <w:num w:numId="13" w16cid:durableId="678511453">
    <w:abstractNumId w:val="44"/>
  </w:num>
  <w:num w:numId="14" w16cid:durableId="902788709">
    <w:abstractNumId w:val="75"/>
  </w:num>
  <w:num w:numId="15" w16cid:durableId="1860898233">
    <w:abstractNumId w:val="2"/>
  </w:num>
  <w:num w:numId="16" w16cid:durableId="947542998">
    <w:abstractNumId w:val="1"/>
  </w:num>
  <w:num w:numId="17" w16cid:durableId="776143292">
    <w:abstractNumId w:val="18"/>
  </w:num>
  <w:num w:numId="18" w16cid:durableId="1621570760">
    <w:abstractNumId w:val="31"/>
  </w:num>
  <w:num w:numId="19" w16cid:durableId="1313829138">
    <w:abstractNumId w:val="24"/>
  </w:num>
  <w:num w:numId="20" w16cid:durableId="1248534949">
    <w:abstractNumId w:val="85"/>
  </w:num>
  <w:num w:numId="21" w16cid:durableId="620067628">
    <w:abstractNumId w:val="47"/>
  </w:num>
  <w:num w:numId="22" w16cid:durableId="1230968646">
    <w:abstractNumId w:val="32"/>
  </w:num>
  <w:num w:numId="23" w16cid:durableId="1607424867">
    <w:abstractNumId w:val="57"/>
  </w:num>
  <w:num w:numId="24" w16cid:durableId="36469990">
    <w:abstractNumId w:val="25"/>
  </w:num>
  <w:num w:numId="25" w16cid:durableId="1630934507">
    <w:abstractNumId w:val="96"/>
  </w:num>
  <w:num w:numId="26" w16cid:durableId="1273708576">
    <w:abstractNumId w:val="33"/>
  </w:num>
  <w:num w:numId="27" w16cid:durableId="772938077">
    <w:abstractNumId w:val="90"/>
  </w:num>
  <w:num w:numId="28" w16cid:durableId="565603880">
    <w:abstractNumId w:val="7"/>
  </w:num>
  <w:num w:numId="29" w16cid:durableId="809707315">
    <w:abstractNumId w:val="8"/>
  </w:num>
  <w:num w:numId="30" w16cid:durableId="1365328440">
    <w:abstractNumId w:val="50"/>
  </w:num>
  <w:num w:numId="31" w16cid:durableId="628974480">
    <w:abstractNumId w:val="55"/>
  </w:num>
  <w:num w:numId="32" w16cid:durableId="258410183">
    <w:abstractNumId w:val="23"/>
  </w:num>
  <w:num w:numId="33" w16cid:durableId="1279292472">
    <w:abstractNumId w:val="16"/>
  </w:num>
  <w:num w:numId="34" w16cid:durableId="2030985271">
    <w:abstractNumId w:val="5"/>
  </w:num>
  <w:num w:numId="35" w16cid:durableId="332805780">
    <w:abstractNumId w:val="19"/>
  </w:num>
  <w:num w:numId="36" w16cid:durableId="500660413">
    <w:abstractNumId w:val="14"/>
  </w:num>
  <w:num w:numId="37" w16cid:durableId="312877431">
    <w:abstractNumId w:val="64"/>
  </w:num>
  <w:num w:numId="38" w16cid:durableId="1313679105">
    <w:abstractNumId w:val="49"/>
  </w:num>
  <w:num w:numId="39" w16cid:durableId="1199389405">
    <w:abstractNumId w:val="68"/>
  </w:num>
  <w:num w:numId="40" w16cid:durableId="105781230">
    <w:abstractNumId w:val="17"/>
  </w:num>
  <w:num w:numId="41" w16cid:durableId="990250725">
    <w:abstractNumId w:val="84"/>
  </w:num>
  <w:num w:numId="42" w16cid:durableId="144513115">
    <w:abstractNumId w:val="97"/>
  </w:num>
  <w:num w:numId="43" w16cid:durableId="1017197305">
    <w:abstractNumId w:val="102"/>
  </w:num>
  <w:num w:numId="44" w16cid:durableId="743139569">
    <w:abstractNumId w:val="79"/>
  </w:num>
  <w:num w:numId="45" w16cid:durableId="1193835062">
    <w:abstractNumId w:val="73"/>
  </w:num>
  <w:num w:numId="46" w16cid:durableId="713576840">
    <w:abstractNumId w:val="26"/>
  </w:num>
  <w:num w:numId="47" w16cid:durableId="1307517509">
    <w:abstractNumId w:val="88"/>
  </w:num>
  <w:num w:numId="48" w16cid:durableId="1980570782">
    <w:abstractNumId w:val="93"/>
  </w:num>
  <w:num w:numId="49" w16cid:durableId="485821221">
    <w:abstractNumId w:val="95"/>
  </w:num>
  <w:num w:numId="50" w16cid:durableId="886649275">
    <w:abstractNumId w:val="87"/>
  </w:num>
  <w:num w:numId="51" w16cid:durableId="257099171">
    <w:abstractNumId w:val="39"/>
  </w:num>
  <w:num w:numId="52" w16cid:durableId="1279602054">
    <w:abstractNumId w:val="74"/>
  </w:num>
  <w:num w:numId="53" w16cid:durableId="109054209">
    <w:abstractNumId w:val="21"/>
  </w:num>
  <w:num w:numId="54" w16cid:durableId="508715756">
    <w:abstractNumId w:val="76"/>
  </w:num>
  <w:num w:numId="55" w16cid:durableId="2074036047">
    <w:abstractNumId w:val="80"/>
  </w:num>
  <w:num w:numId="56" w16cid:durableId="1001856050">
    <w:abstractNumId w:val="107"/>
  </w:num>
  <w:num w:numId="57" w16cid:durableId="1132333821">
    <w:abstractNumId w:val="103"/>
  </w:num>
  <w:num w:numId="58" w16cid:durableId="582035767">
    <w:abstractNumId w:val="77"/>
  </w:num>
  <w:num w:numId="59" w16cid:durableId="2023194327">
    <w:abstractNumId w:val="63"/>
  </w:num>
  <w:num w:numId="60" w16cid:durableId="1654291940">
    <w:abstractNumId w:val="92"/>
  </w:num>
  <w:num w:numId="61" w16cid:durableId="521283661">
    <w:abstractNumId w:val="61"/>
  </w:num>
  <w:num w:numId="62" w16cid:durableId="1178227552">
    <w:abstractNumId w:val="101"/>
  </w:num>
  <w:num w:numId="63" w16cid:durableId="466822835">
    <w:abstractNumId w:val="72"/>
  </w:num>
  <w:num w:numId="64" w16cid:durableId="1082871508">
    <w:abstractNumId w:val="46"/>
  </w:num>
  <w:num w:numId="65" w16cid:durableId="2079591541">
    <w:abstractNumId w:val="69"/>
  </w:num>
  <w:num w:numId="66" w16cid:durableId="1984432708">
    <w:abstractNumId w:val="10"/>
  </w:num>
  <w:num w:numId="67" w16cid:durableId="702290571">
    <w:abstractNumId w:val="43"/>
  </w:num>
  <w:num w:numId="68" w16cid:durableId="266890509">
    <w:abstractNumId w:val="100"/>
  </w:num>
  <w:num w:numId="69" w16cid:durableId="1741753545">
    <w:abstractNumId w:val="66"/>
  </w:num>
  <w:num w:numId="70" w16cid:durableId="862472844">
    <w:abstractNumId w:val="0"/>
  </w:num>
  <w:num w:numId="71" w16cid:durableId="1785072913">
    <w:abstractNumId w:val="91"/>
  </w:num>
  <w:num w:numId="72" w16cid:durableId="1472821626">
    <w:abstractNumId w:val="62"/>
  </w:num>
  <w:num w:numId="73" w16cid:durableId="427582820">
    <w:abstractNumId w:val="65"/>
  </w:num>
  <w:num w:numId="74" w16cid:durableId="2109933647">
    <w:abstractNumId w:val="71"/>
  </w:num>
  <w:num w:numId="75" w16cid:durableId="170067637">
    <w:abstractNumId w:val="34"/>
  </w:num>
  <w:num w:numId="76" w16cid:durableId="1045447647">
    <w:abstractNumId w:val="78"/>
  </w:num>
  <w:num w:numId="77" w16cid:durableId="1322806922">
    <w:abstractNumId w:val="35"/>
  </w:num>
  <w:num w:numId="78" w16cid:durableId="991062690">
    <w:abstractNumId w:val="4"/>
  </w:num>
  <w:num w:numId="79" w16cid:durableId="1081026659">
    <w:abstractNumId w:val="109"/>
  </w:num>
  <w:num w:numId="80" w16cid:durableId="1160658639">
    <w:abstractNumId w:val="11"/>
  </w:num>
  <w:num w:numId="81" w16cid:durableId="1112087541">
    <w:abstractNumId w:val="41"/>
  </w:num>
  <w:num w:numId="82" w16cid:durableId="1058624565">
    <w:abstractNumId w:val="104"/>
  </w:num>
  <w:num w:numId="83" w16cid:durableId="1534267069">
    <w:abstractNumId w:val="38"/>
  </w:num>
  <w:num w:numId="84" w16cid:durableId="1924221986">
    <w:abstractNumId w:val="13"/>
  </w:num>
  <w:num w:numId="85" w16cid:durableId="1348677323">
    <w:abstractNumId w:val="36"/>
  </w:num>
  <w:num w:numId="86" w16cid:durableId="127675969">
    <w:abstractNumId w:val="94"/>
  </w:num>
  <w:num w:numId="87" w16cid:durableId="1905094481">
    <w:abstractNumId w:val="40"/>
  </w:num>
  <w:num w:numId="88" w16cid:durableId="1249073443">
    <w:abstractNumId w:val="53"/>
  </w:num>
  <w:num w:numId="89" w16cid:durableId="991450967">
    <w:abstractNumId w:val="56"/>
  </w:num>
  <w:num w:numId="90" w16cid:durableId="885140826">
    <w:abstractNumId w:val="59"/>
  </w:num>
  <w:num w:numId="91" w16cid:durableId="114558824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2087604014">
    <w:abstractNumId w:val="42"/>
  </w:num>
  <w:num w:numId="93" w16cid:durableId="1305550580">
    <w:abstractNumId w:val="29"/>
  </w:num>
  <w:num w:numId="94" w16cid:durableId="926697526">
    <w:abstractNumId w:val="89"/>
  </w:num>
  <w:num w:numId="95" w16cid:durableId="567544646">
    <w:abstractNumId w:val="28"/>
  </w:num>
  <w:num w:numId="96" w16cid:durableId="1093088842">
    <w:abstractNumId w:val="37"/>
  </w:num>
  <w:num w:numId="97" w16cid:durableId="698311199">
    <w:abstractNumId w:val="22"/>
  </w:num>
  <w:num w:numId="98" w16cid:durableId="1411121593">
    <w:abstractNumId w:val="99"/>
  </w:num>
  <w:num w:numId="99" w16cid:durableId="267738409">
    <w:abstractNumId w:val="15"/>
  </w:num>
  <w:num w:numId="100" w16cid:durableId="1318263784">
    <w:abstractNumId w:val="108"/>
  </w:num>
  <w:num w:numId="101" w16cid:durableId="95751712">
    <w:abstractNumId w:val="20"/>
  </w:num>
  <w:num w:numId="102" w16cid:durableId="171562145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3093597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959994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491675600">
    <w:abstractNumId w:val="48"/>
  </w:num>
  <w:num w:numId="106" w16cid:durableId="748846576">
    <w:abstractNumId w:val="82"/>
  </w:num>
  <w:num w:numId="107" w16cid:durableId="1180268657">
    <w:abstractNumId w:val="12"/>
  </w:num>
  <w:num w:numId="108" w16cid:durableId="3067876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6860558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758674949">
    <w:abstractNumId w:val="67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E2"/>
    <w:rsid w:val="00005871"/>
    <w:rsid w:val="00010FC6"/>
    <w:rsid w:val="000158D3"/>
    <w:rsid w:val="00033082"/>
    <w:rsid w:val="0004603C"/>
    <w:rsid w:val="00047E2A"/>
    <w:rsid w:val="00054190"/>
    <w:rsid w:val="00061F84"/>
    <w:rsid w:val="000636D0"/>
    <w:rsid w:val="00065622"/>
    <w:rsid w:val="00065C40"/>
    <w:rsid w:val="000713F8"/>
    <w:rsid w:val="00073FCB"/>
    <w:rsid w:val="00082666"/>
    <w:rsid w:val="00094EF6"/>
    <w:rsid w:val="000E21EF"/>
    <w:rsid w:val="000E6C77"/>
    <w:rsid w:val="0010162A"/>
    <w:rsid w:val="00124162"/>
    <w:rsid w:val="00126CE4"/>
    <w:rsid w:val="00146212"/>
    <w:rsid w:val="001519A6"/>
    <w:rsid w:val="001561C5"/>
    <w:rsid w:val="00165B80"/>
    <w:rsid w:val="00175E8D"/>
    <w:rsid w:val="00177A96"/>
    <w:rsid w:val="00190376"/>
    <w:rsid w:val="001913FB"/>
    <w:rsid w:val="001A004D"/>
    <w:rsid w:val="001A4E34"/>
    <w:rsid w:val="001B0C19"/>
    <w:rsid w:val="001D661C"/>
    <w:rsid w:val="00211B6E"/>
    <w:rsid w:val="00214307"/>
    <w:rsid w:val="002304F7"/>
    <w:rsid w:val="002457F4"/>
    <w:rsid w:val="002571F6"/>
    <w:rsid w:val="00265335"/>
    <w:rsid w:val="00280FD7"/>
    <w:rsid w:val="002840E8"/>
    <w:rsid w:val="002A19CA"/>
    <w:rsid w:val="002A2007"/>
    <w:rsid w:val="002A3F00"/>
    <w:rsid w:val="002A6990"/>
    <w:rsid w:val="002B08FC"/>
    <w:rsid w:val="002C6C68"/>
    <w:rsid w:val="002D340C"/>
    <w:rsid w:val="002D66BB"/>
    <w:rsid w:val="002E6BDD"/>
    <w:rsid w:val="002F66E8"/>
    <w:rsid w:val="003003F6"/>
    <w:rsid w:val="003034EE"/>
    <w:rsid w:val="00310274"/>
    <w:rsid w:val="003134FE"/>
    <w:rsid w:val="003242E7"/>
    <w:rsid w:val="003816DA"/>
    <w:rsid w:val="00385FFB"/>
    <w:rsid w:val="003868F7"/>
    <w:rsid w:val="003B7F69"/>
    <w:rsid w:val="003D48F4"/>
    <w:rsid w:val="003E12FF"/>
    <w:rsid w:val="003E57E7"/>
    <w:rsid w:val="003F7E46"/>
    <w:rsid w:val="00412555"/>
    <w:rsid w:val="00426032"/>
    <w:rsid w:val="0043524E"/>
    <w:rsid w:val="0044148B"/>
    <w:rsid w:val="00442ADC"/>
    <w:rsid w:val="00460683"/>
    <w:rsid w:val="0047029A"/>
    <w:rsid w:val="004752A6"/>
    <w:rsid w:val="00480228"/>
    <w:rsid w:val="00482EA3"/>
    <w:rsid w:val="004844AD"/>
    <w:rsid w:val="00496A85"/>
    <w:rsid w:val="004C16F3"/>
    <w:rsid w:val="004D33E4"/>
    <w:rsid w:val="004E5DD7"/>
    <w:rsid w:val="004E62F6"/>
    <w:rsid w:val="005115C2"/>
    <w:rsid w:val="00513AE9"/>
    <w:rsid w:val="005361F4"/>
    <w:rsid w:val="005A056A"/>
    <w:rsid w:val="005B7917"/>
    <w:rsid w:val="005E22E2"/>
    <w:rsid w:val="00600971"/>
    <w:rsid w:val="006302A4"/>
    <w:rsid w:val="006760F1"/>
    <w:rsid w:val="00676BD4"/>
    <w:rsid w:val="006C0F33"/>
    <w:rsid w:val="006D19B4"/>
    <w:rsid w:val="006D5091"/>
    <w:rsid w:val="006E040C"/>
    <w:rsid w:val="006F0412"/>
    <w:rsid w:val="007021C9"/>
    <w:rsid w:val="007077F2"/>
    <w:rsid w:val="00735813"/>
    <w:rsid w:val="00751CA2"/>
    <w:rsid w:val="00760990"/>
    <w:rsid w:val="00761B48"/>
    <w:rsid w:val="00780D75"/>
    <w:rsid w:val="00863D3F"/>
    <w:rsid w:val="0088784C"/>
    <w:rsid w:val="008C4DE6"/>
    <w:rsid w:val="008D4A77"/>
    <w:rsid w:val="008E59CD"/>
    <w:rsid w:val="00940302"/>
    <w:rsid w:val="00964AB3"/>
    <w:rsid w:val="0098255B"/>
    <w:rsid w:val="009825B5"/>
    <w:rsid w:val="0099211B"/>
    <w:rsid w:val="009A5797"/>
    <w:rsid w:val="009B0415"/>
    <w:rsid w:val="009B7B29"/>
    <w:rsid w:val="00A0079F"/>
    <w:rsid w:val="00A032B3"/>
    <w:rsid w:val="00A122F3"/>
    <w:rsid w:val="00A25198"/>
    <w:rsid w:val="00A34049"/>
    <w:rsid w:val="00A369C6"/>
    <w:rsid w:val="00A42564"/>
    <w:rsid w:val="00A435F0"/>
    <w:rsid w:val="00A60A32"/>
    <w:rsid w:val="00A62A72"/>
    <w:rsid w:val="00A65A4B"/>
    <w:rsid w:val="00A65A85"/>
    <w:rsid w:val="00A834F4"/>
    <w:rsid w:val="00A8394D"/>
    <w:rsid w:val="00A97B93"/>
    <w:rsid w:val="00AD03AE"/>
    <w:rsid w:val="00AD274B"/>
    <w:rsid w:val="00AF2420"/>
    <w:rsid w:val="00AF3CB9"/>
    <w:rsid w:val="00AF4EB4"/>
    <w:rsid w:val="00B04D67"/>
    <w:rsid w:val="00B3481D"/>
    <w:rsid w:val="00B371AE"/>
    <w:rsid w:val="00B40208"/>
    <w:rsid w:val="00B546E9"/>
    <w:rsid w:val="00B619ED"/>
    <w:rsid w:val="00B82EF6"/>
    <w:rsid w:val="00BA0B96"/>
    <w:rsid w:val="00BA5B1E"/>
    <w:rsid w:val="00BC79CC"/>
    <w:rsid w:val="00BF123B"/>
    <w:rsid w:val="00C06AC7"/>
    <w:rsid w:val="00C0733F"/>
    <w:rsid w:val="00C10AD0"/>
    <w:rsid w:val="00C14A13"/>
    <w:rsid w:val="00C24F21"/>
    <w:rsid w:val="00C3461A"/>
    <w:rsid w:val="00C453FB"/>
    <w:rsid w:val="00C61808"/>
    <w:rsid w:val="00C84E18"/>
    <w:rsid w:val="00C965EE"/>
    <w:rsid w:val="00CA4211"/>
    <w:rsid w:val="00CB4107"/>
    <w:rsid w:val="00CB53C1"/>
    <w:rsid w:val="00CC431D"/>
    <w:rsid w:val="00CD5328"/>
    <w:rsid w:val="00CD5F55"/>
    <w:rsid w:val="00CE30B1"/>
    <w:rsid w:val="00CE436D"/>
    <w:rsid w:val="00CF1AB9"/>
    <w:rsid w:val="00CF3AD3"/>
    <w:rsid w:val="00D03EE0"/>
    <w:rsid w:val="00D12A68"/>
    <w:rsid w:val="00D13FB1"/>
    <w:rsid w:val="00D15EA9"/>
    <w:rsid w:val="00D21A44"/>
    <w:rsid w:val="00D50D3B"/>
    <w:rsid w:val="00D74189"/>
    <w:rsid w:val="00DA2978"/>
    <w:rsid w:val="00DB213D"/>
    <w:rsid w:val="00DC0C56"/>
    <w:rsid w:val="00DD38FA"/>
    <w:rsid w:val="00E1663C"/>
    <w:rsid w:val="00E171E7"/>
    <w:rsid w:val="00E33A3B"/>
    <w:rsid w:val="00E52019"/>
    <w:rsid w:val="00E94B8D"/>
    <w:rsid w:val="00EA5546"/>
    <w:rsid w:val="00EB7791"/>
    <w:rsid w:val="00EC7F17"/>
    <w:rsid w:val="00EE312E"/>
    <w:rsid w:val="00F4281F"/>
    <w:rsid w:val="00F6134F"/>
    <w:rsid w:val="00F65F29"/>
    <w:rsid w:val="00F74B0F"/>
    <w:rsid w:val="00F753C2"/>
    <w:rsid w:val="00F76785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AF87E822-6F9E-47EA-B29F-1DBCBF31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2A7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2A7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2A7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2A7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2A7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2A72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2A72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paragraph" w:customStyle="1" w:styleId="paragraph">
    <w:name w:val="paragraph"/>
    <w:basedOn w:val="Normalny"/>
    <w:rsid w:val="0098255B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98255B"/>
  </w:style>
  <w:style w:type="character" w:customStyle="1" w:styleId="eop">
    <w:name w:val="eop"/>
    <w:basedOn w:val="Domylnaczcionkaakapitu"/>
    <w:rsid w:val="0098255B"/>
  </w:style>
  <w:style w:type="character" w:customStyle="1" w:styleId="Nagwek3Znak">
    <w:name w:val="Nagłówek 3 Znak"/>
    <w:basedOn w:val="Domylnaczcionkaakapitu"/>
    <w:link w:val="Nagwek3"/>
    <w:uiPriority w:val="9"/>
    <w:semiHidden/>
    <w:rsid w:val="00A62A72"/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2A72"/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2A72"/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2A72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2A72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2A72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2A72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A62A7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62A7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2A72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62A72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A62A7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62A72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62A7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2A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2A72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A62A72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3F7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4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6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6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6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9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4223E9-4EFB-4356-9968-1B7B3CFC0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CB1A2-327D-42F8-9518-D664C247D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454a79-485d-42aa-a46b-3e8dd221e304"/>
    <ds:schemaRef ds:uri="70c7546b-1e65-4330-830a-e665913d4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3746</Words>
  <Characters>22477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Paweł Nasiłowski</cp:lastModifiedBy>
  <cp:revision>2</cp:revision>
  <cp:lastPrinted>2018-03-26T00:55:00Z</cp:lastPrinted>
  <dcterms:created xsi:type="dcterms:W3CDTF">2026-04-17T11:35:00Z</dcterms:created>
  <dcterms:modified xsi:type="dcterms:W3CDTF">2026-04-17T11:35:00Z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</Properties>
</file>